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83D3" w14:textId="55A0A0A3" w:rsidR="00233180" w:rsidRPr="00007B44" w:rsidRDefault="00BA2E9F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233180" w:rsidRPr="00007B44">
        <w:rPr>
          <w:rFonts w:ascii="Helvetica" w:hAnsi="Helvetica" w:cs="Helvetica"/>
          <w:sz w:val="20"/>
          <w:szCs w:val="24"/>
          <w:lang w:val="lt-LT"/>
        </w:rPr>
        <w:t xml:space="preserve">Anti-PD-1 antikūnas arba antigeną surišanti 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="00233180" w:rsidRPr="00007B44">
        <w:rPr>
          <w:rFonts w:ascii="Helvetica" w:hAnsi="Helvetica" w:cs="Helvetica"/>
          <w:sz w:val="20"/>
          <w:szCs w:val="24"/>
          <w:lang w:val="lt-LT"/>
        </w:rPr>
        <w:t xml:space="preserve">dalis, kuri 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>riša</w:t>
      </w:r>
      <w:r w:rsidR="00233180" w:rsidRPr="00007B44">
        <w:rPr>
          <w:rFonts w:ascii="Helvetica" w:hAnsi="Helvetica" w:cs="Helvetica"/>
          <w:sz w:val="20"/>
          <w:szCs w:val="24"/>
          <w:lang w:val="lt-LT"/>
        </w:rPr>
        <w:t xml:space="preserve">si prie žmogaus PD-1 epitopo, apimančio 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sekos </w:t>
      </w:r>
      <w:r w:rsidR="00233180" w:rsidRPr="00007B44">
        <w:rPr>
          <w:rFonts w:ascii="Helvetica" w:hAnsi="Helvetica" w:cs="Helvetica"/>
          <w:sz w:val="20"/>
          <w:szCs w:val="24"/>
          <w:lang w:val="lt-LT"/>
        </w:rPr>
        <w:t>SEQ ID Nr. 1 aminorūgščių liekanas V64, L128, P130, K131 ir A132.</w:t>
      </w:r>
    </w:p>
    <w:p w14:paraId="2F5F0206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6ECFDEE" w14:textId="4B7D3705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2. Anti-PD-1 antikūnas arba antigeną surišanti dalis pagal 1 punktą, kur minėtas antikūnas apima H-CDR1-3 ir L-CDR1-3, apimanči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>a</w:t>
      </w:r>
      <w:r w:rsidRPr="00007B44">
        <w:rPr>
          <w:rFonts w:ascii="Helvetica" w:hAnsi="Helvetica" w:cs="Helvetica"/>
          <w:sz w:val="20"/>
          <w:szCs w:val="24"/>
          <w:lang w:val="lt-LT"/>
        </w:rPr>
        <w:t>s aminorūgščių sekas SEQ ID Nr. 18-20 ir SEQ ID Nr. 21-23 atitinkamai.</w:t>
      </w:r>
    </w:p>
    <w:p w14:paraId="74148616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CBC6001" w14:textId="705D6A2D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3. Anti-PD-1 antikūnas arba antigeną surišanti dalis pagal 1 punktą, kur minėtas antikūnas apima V</w:t>
      </w:r>
      <w:r w:rsidRPr="00007B44">
        <w:rPr>
          <w:rFonts w:ascii="Helvetica" w:hAnsi="Helvetica" w:cs="Helvetica"/>
          <w:sz w:val="20"/>
          <w:szCs w:val="24"/>
          <w:vertAlign w:val="subscript"/>
          <w:lang w:val="lt-LT"/>
        </w:rPr>
        <w:t>H</w:t>
      </w:r>
      <w:r w:rsidRPr="00007B44">
        <w:rPr>
          <w:rFonts w:ascii="Helvetica" w:hAnsi="Helvetica" w:cs="Helvetica"/>
          <w:sz w:val="20"/>
          <w:szCs w:val="24"/>
          <w:lang w:val="lt-LT"/>
        </w:rPr>
        <w:t>, apiman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>čią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aminorūgščių seką </w:t>
      </w:r>
      <w:r w:rsidRPr="00007B44">
        <w:rPr>
          <w:rFonts w:ascii="Helvetica" w:hAnsi="Helvetica" w:cs="Helvetica"/>
          <w:sz w:val="20"/>
          <w:szCs w:val="24"/>
          <w:lang w:val="lt-LT"/>
        </w:rPr>
        <w:t>SEQ ID Nr. 2, ir V</w:t>
      </w:r>
      <w:r w:rsidRPr="00007B44">
        <w:rPr>
          <w:rFonts w:ascii="Helvetica" w:hAnsi="Helvetica" w:cs="Helvetica"/>
          <w:sz w:val="20"/>
          <w:szCs w:val="24"/>
          <w:vertAlign w:val="subscript"/>
          <w:lang w:val="lt-LT"/>
        </w:rPr>
        <w:t>L</w:t>
      </w:r>
      <w:r w:rsidRPr="00007B44">
        <w:rPr>
          <w:rFonts w:ascii="Helvetica" w:hAnsi="Helvetica" w:cs="Helvetica"/>
          <w:sz w:val="20"/>
          <w:szCs w:val="24"/>
          <w:lang w:val="lt-LT"/>
        </w:rPr>
        <w:t>, apima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>čią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aminorūgščių seką </w:t>
      </w:r>
      <w:r w:rsidRPr="00007B44">
        <w:rPr>
          <w:rFonts w:ascii="Helvetica" w:hAnsi="Helvetica" w:cs="Helvetica"/>
          <w:sz w:val="20"/>
          <w:szCs w:val="24"/>
          <w:lang w:val="lt-LT"/>
        </w:rPr>
        <w:t>SEQ ID Nr. 3.</w:t>
      </w:r>
    </w:p>
    <w:p w14:paraId="14108220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C7D3760" w14:textId="26A3FD46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4. Anti-PD-1 antikūnas pagal bet kurį iš 1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3 punktų, kur antikūnas yra IgG</w:t>
      </w:r>
      <w:r w:rsidRPr="00007B44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007B44">
        <w:rPr>
          <w:rFonts w:ascii="Helvetica" w:hAnsi="Helvetica" w:cs="Helvetica"/>
          <w:sz w:val="20"/>
          <w:szCs w:val="24"/>
          <w:lang w:val="lt-LT"/>
        </w:rPr>
        <w:t>, pasirinktinai apimantis mutaciją vienoje arba abiejose sunkiosios grandinės aminorūgščių padėtyse 234 ir 235, kurios yra sunumeruotos pagal IMGT numeravimo schemą, pasirinktinai</w:t>
      </w:r>
      <w:r w:rsidR="00064FA4" w:rsidRPr="00007B44">
        <w:rPr>
          <w:rFonts w:ascii="Helvetica" w:hAnsi="Helvetica" w:cs="Helvetica"/>
          <w:sz w:val="20"/>
          <w:szCs w:val="24"/>
          <w:lang w:val="lt-LT"/>
        </w:rPr>
        <w:t>,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kur viena arba abi aminorūgščių liekanos 234 ir 235 padėtyse yra mutavusios į Ala.</w:t>
      </w:r>
    </w:p>
    <w:p w14:paraId="55AE051E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92D34D" w14:textId="4DED2A86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5. Anti-PD-1 antikūnas arba antigeną surišanti dalis pagal bet kurį iš 1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A92C83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4 punktų, kur antikūnas arba dalis turi bent vieną iš šių savybių: </w:t>
      </w:r>
    </w:p>
    <w:p w14:paraId="217B7DDE" w14:textId="42637D0E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a)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rišasi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prie žmogaus PD-1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 xml:space="preserve"> su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K</w:t>
      </w:r>
      <w:r w:rsidRPr="00007B44">
        <w:rPr>
          <w:rFonts w:ascii="Helvetica" w:hAnsi="Helvetica" w:cs="Helvetica"/>
          <w:sz w:val="20"/>
          <w:szCs w:val="24"/>
          <w:vertAlign w:val="subscript"/>
          <w:lang w:val="lt-LT"/>
        </w:rPr>
        <w:t>D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,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lygia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750 pM arba maž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iau</w:t>
      </w:r>
      <w:r w:rsidRPr="00007B44">
        <w:rPr>
          <w:rFonts w:ascii="Helvetica" w:hAnsi="Helvetica" w:cs="Helvetica"/>
          <w:sz w:val="20"/>
          <w:szCs w:val="24"/>
          <w:lang w:val="lt-LT"/>
        </w:rPr>
        <w:t>;</w:t>
      </w:r>
    </w:p>
    <w:p w14:paraId="19986DDD" w14:textId="41136AC3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rišasi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prie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krabaėdės makakos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PD-1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su K</w:t>
      </w:r>
      <w:r w:rsidR="002813A8" w:rsidRPr="00007B44">
        <w:rPr>
          <w:rFonts w:ascii="Helvetica" w:hAnsi="Helvetica" w:cs="Helvetica"/>
          <w:sz w:val="20"/>
          <w:szCs w:val="24"/>
          <w:vertAlign w:val="subscript"/>
          <w:lang w:val="lt-LT"/>
        </w:rPr>
        <w:t>D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, lygia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7 nM arba mažiau;</w:t>
      </w:r>
    </w:p>
    <w:p w14:paraId="07BB8451" w14:textId="0B86CDFB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c)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rišasi prie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pelės PD-1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su K</w:t>
      </w:r>
      <w:r w:rsidR="002813A8" w:rsidRPr="00007B44">
        <w:rPr>
          <w:rFonts w:ascii="Helvetica" w:hAnsi="Helvetica" w:cs="Helvetica"/>
          <w:sz w:val="20"/>
          <w:szCs w:val="24"/>
          <w:vertAlign w:val="subscript"/>
          <w:lang w:val="lt-LT"/>
        </w:rPr>
        <w:t>D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, lygia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1 nM arba maž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iau</w:t>
      </w:r>
      <w:r w:rsidRPr="00007B44">
        <w:rPr>
          <w:rFonts w:ascii="Helvetica" w:hAnsi="Helvetica" w:cs="Helvetica"/>
          <w:sz w:val="20"/>
          <w:szCs w:val="24"/>
          <w:lang w:val="lt-LT"/>
        </w:rPr>
        <w:t>;</w:t>
      </w:r>
    </w:p>
    <w:p w14:paraId="3FCFC069" w14:textId="426CA4D2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d) nesi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riša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813A8" w:rsidRPr="00007B44">
        <w:rPr>
          <w:rFonts w:ascii="Helvetica" w:hAnsi="Helvetica" w:cs="Helvetica"/>
          <w:sz w:val="20"/>
          <w:szCs w:val="24"/>
          <w:lang w:val="lt-LT"/>
        </w:rPr>
        <w:t>prie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žiurkės PD-1;</w:t>
      </w:r>
    </w:p>
    <w:p w14:paraId="201563B3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e) padidina IL-2 sekreciją SEB viso kraujo tyrime;</w:t>
      </w:r>
    </w:p>
    <w:p w14:paraId="6F9E7E8D" w14:textId="0BA5D031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f) padidina IFN-γ sekreciją vienpusės mišrios limfocitų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 xml:space="preserve"> kultūros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reakcijos tyrime;</w:t>
      </w:r>
    </w:p>
    <w:p w14:paraId="2E69CDBA" w14:textId="14B73F7F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g) slopina PD-1 sąveiką su PD-L1 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bent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60 %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,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esant 10 µg/ml koncentracijai sraut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inės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citometri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jos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konkurencijos tyrime;</w:t>
      </w:r>
    </w:p>
    <w:p w14:paraId="2C061EA1" w14:textId="37E34A2F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h) blokuoja PD-L1 ir PD-L2 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 xml:space="preserve">rišimąsi </w:t>
      </w:r>
      <w:r w:rsidRPr="00007B44">
        <w:rPr>
          <w:rFonts w:ascii="Helvetica" w:hAnsi="Helvetica" w:cs="Helvetica"/>
          <w:sz w:val="20"/>
          <w:szCs w:val="24"/>
          <w:lang w:val="lt-LT"/>
        </w:rPr>
        <w:t>prie PD</w:t>
      </w:r>
      <w:r w:rsidR="00531225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-1 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bent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90 %, 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esant 10 µg/ml koncentracijai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, kaip nustatyta </w:t>
      </w:r>
      <w:r w:rsidRPr="00007B44">
        <w:rPr>
          <w:rFonts w:ascii="Helvetica" w:hAnsi="Helvetica" w:cs="Helvetica"/>
          <w:i/>
          <w:iCs/>
          <w:sz w:val="20"/>
          <w:szCs w:val="24"/>
          <w:lang w:val="lt-LT"/>
        </w:rPr>
        <w:t>Bio-Layer Interferometry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analizės 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>metodu</w:t>
      </w:r>
      <w:r w:rsidRPr="00007B44">
        <w:rPr>
          <w:rFonts w:ascii="Helvetica" w:hAnsi="Helvetica" w:cs="Helvetica"/>
          <w:sz w:val="20"/>
          <w:szCs w:val="24"/>
          <w:lang w:val="lt-LT"/>
        </w:rPr>
        <w:t>; ir</w:t>
      </w:r>
    </w:p>
    <w:p w14:paraId="01D1D9F6" w14:textId="637AF8AD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i) slopina naviko augimą </w:t>
      </w:r>
      <w:r w:rsidRPr="00007B44">
        <w:rPr>
          <w:rFonts w:ascii="Helvetica" w:hAnsi="Helvetica" w:cs="Helvetica"/>
          <w:i/>
          <w:iCs/>
          <w:sz w:val="20"/>
          <w:szCs w:val="24"/>
          <w:lang w:val="lt-LT"/>
        </w:rPr>
        <w:t>in vivo</w:t>
      </w:r>
      <w:r w:rsidR="00AF6F4B" w:rsidRPr="00007B44">
        <w:rPr>
          <w:rFonts w:ascii="Helvetica" w:hAnsi="Helvetica" w:cs="Helvetica"/>
          <w:sz w:val="20"/>
          <w:szCs w:val="24"/>
          <w:lang w:val="lt-LT"/>
        </w:rPr>
        <w:t xml:space="preserve"> sąlygomis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068CEFFE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6DB303" w14:textId="5B1A1B81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6. Anti-PD-1 antikūnas, </w:t>
      </w:r>
      <w:r w:rsidR="00151B4B" w:rsidRPr="00007B44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Pr="00007B44">
        <w:rPr>
          <w:rFonts w:ascii="Helvetica" w:hAnsi="Helvetica" w:cs="Helvetica"/>
          <w:sz w:val="20"/>
          <w:szCs w:val="24"/>
          <w:lang w:val="lt-LT"/>
        </w:rPr>
        <w:t>apima sunkiąją grandinę, apimančią aminorūgščių sekas SEQ ID Nr. 2 ir 67, ir lengvąją grandinę, apimančią aminorūgščių sekas SEQ ID Nr. 3 ir 68.</w:t>
      </w:r>
    </w:p>
    <w:p w14:paraId="06118967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1DA9191" w14:textId="296C0492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7. Farmacinė kompozicija, apimanti anti-PD-1 antikūną arba antigeną </w:t>
      </w:r>
      <w:r w:rsidR="00151B4B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>rišančią dalį pagal bet kurį iš 1</w:t>
      </w:r>
      <w:r w:rsidR="00151B4B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151B4B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6 punktų ir farmaciniu požiūriu priimtiną 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>pagalbinę medžiagą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, pasirinktinai 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>dar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apimanti chemoterapinį agentą, antineoplastinį agentą, antiangiogeninį agentą, tirozino kinazės inhibitori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>ų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arba PD-1 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 xml:space="preserve">signalinio </w:t>
      </w:r>
      <w:r w:rsidRPr="00007B44">
        <w:rPr>
          <w:rFonts w:ascii="Helvetica" w:hAnsi="Helvetica" w:cs="Helvetica"/>
          <w:sz w:val="20"/>
          <w:szCs w:val="24"/>
          <w:lang w:val="lt-LT"/>
        </w:rPr>
        <w:t>kelio inhibitori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>ų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08CEE392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7540870" w14:textId="144C43F3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8. Izoliuota nukleorūgšties molekulė, apimanti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anti-PD-1 antikūno pagal bet kurį iš 1 - 6 punktų 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 xml:space="preserve">nukleotidų seką, kuri koduoja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sunkiąją grandinę arba antigeną surišančią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jos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dalį, arba nukleotidų seką, 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>kuri koduoja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lengvąją grandinę arba antigeną surišančią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jos </w:t>
      </w:r>
      <w:r w:rsidRPr="00007B44">
        <w:rPr>
          <w:rFonts w:ascii="Helvetica" w:hAnsi="Helvetica" w:cs="Helvetica"/>
          <w:sz w:val="20"/>
          <w:szCs w:val="24"/>
          <w:lang w:val="lt-LT"/>
        </w:rPr>
        <w:t>dalį, arba ab</w:t>
      </w:r>
      <w:r w:rsidR="007944AB" w:rsidRPr="00007B44">
        <w:rPr>
          <w:rFonts w:ascii="Helvetica" w:hAnsi="Helvetica" w:cs="Helvetica"/>
          <w:sz w:val="20"/>
          <w:szCs w:val="24"/>
          <w:lang w:val="lt-LT"/>
        </w:rPr>
        <w:t>i</w:t>
      </w:r>
      <w:r w:rsidR="007517B3" w:rsidRPr="00007B44">
        <w:rPr>
          <w:rFonts w:ascii="Helvetica" w:hAnsi="Helvetica" w:cs="Helvetica"/>
          <w:sz w:val="20"/>
          <w:szCs w:val="24"/>
          <w:lang w:val="lt-LT"/>
        </w:rPr>
        <w:t xml:space="preserve"> sekas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77E51F3A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63E2AD" w14:textId="57E30BA3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9. Vektorius, apimantis izoliuotą nukleorūgšties molekulę pagal 8 punktą, kur minėtas vektorius papildomai apima </w:t>
      </w:r>
      <w:r w:rsidR="005E0EF0" w:rsidRPr="00007B44">
        <w:rPr>
          <w:rFonts w:ascii="Helvetica" w:hAnsi="Helvetica" w:cs="Helvetica"/>
          <w:sz w:val="20"/>
          <w:szCs w:val="24"/>
          <w:lang w:val="lt-LT"/>
        </w:rPr>
        <w:t>raiškos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kontrolės seką.</w:t>
      </w:r>
    </w:p>
    <w:p w14:paraId="7042DC50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BAD8417" w14:textId="078990BB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lastRenderedPageBreak/>
        <w:t xml:space="preserve">10. Ląstelė šeimininkė, apimanti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anti-PD-1 antikūno pagal bet kurį vieną iš 1 - 6 punktų nukleotidų seką, kuri koduoja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sunkiąją grandinę arba antigeną surišančią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jos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dalį, ir nukleotidų seką,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>kuri koduoja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lengvąją grandinę arba antigeną surišančią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jos </w:t>
      </w:r>
      <w:r w:rsidRPr="00007B44">
        <w:rPr>
          <w:rFonts w:ascii="Helvetica" w:hAnsi="Helvetica" w:cs="Helvetica"/>
          <w:sz w:val="20"/>
          <w:szCs w:val="24"/>
          <w:lang w:val="lt-LT"/>
        </w:rPr>
        <w:t>dalį.</w:t>
      </w:r>
    </w:p>
    <w:p w14:paraId="15D0E271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077A26" w14:textId="4CD7817E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11. Anti-PD-1 antikūno arba antigeną surišančios 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007B44">
        <w:rPr>
          <w:rFonts w:ascii="Helvetica" w:hAnsi="Helvetica" w:cs="Helvetica"/>
          <w:sz w:val="20"/>
          <w:szCs w:val="24"/>
          <w:lang w:val="lt-LT"/>
        </w:rPr>
        <w:t>dalies ga</w:t>
      </w:r>
      <w:r w:rsidR="00AB37DE" w:rsidRPr="00007B44">
        <w:rPr>
          <w:rFonts w:ascii="Helvetica" w:hAnsi="Helvetica" w:cs="Helvetica"/>
          <w:sz w:val="20"/>
          <w:szCs w:val="24"/>
          <w:lang w:val="lt-LT"/>
        </w:rPr>
        <w:t>mybos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būdas, apimantis ląstelės šeimininkės pagal 10 punktą 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>pa</w:t>
      </w:r>
      <w:r w:rsidRPr="00007B44">
        <w:rPr>
          <w:rFonts w:ascii="Helvetica" w:hAnsi="Helvetica" w:cs="Helvetica"/>
          <w:sz w:val="20"/>
          <w:szCs w:val="24"/>
          <w:lang w:val="lt-LT"/>
        </w:rPr>
        <w:t>teikimą, minėtos ląstelės šeimininkės kultivavimą</w:t>
      </w:r>
      <w:r w:rsidR="007517B3" w:rsidRPr="00007B44">
        <w:rPr>
          <w:rFonts w:ascii="Helvetica" w:hAnsi="Helvetica" w:cs="Helvetica"/>
          <w:sz w:val="20"/>
          <w:szCs w:val="24"/>
          <w:lang w:val="lt-LT"/>
        </w:rPr>
        <w:t>,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 xml:space="preserve"> esant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sąlygoms, tinkamoms antikūno arba jo dalies 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>raiškai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, ir gauto antikūno arba jo dalies išskyrimą. </w:t>
      </w:r>
    </w:p>
    <w:p w14:paraId="6EFF3527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061738A" w14:textId="78B25135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12. Bispecifinė 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>surišanti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molekulė, turinti anti-PD-1 antikūno pagal bet kurį vieną iš 1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6 punktų surišimo specifiškumą ir kito, 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>skirtingo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antikūno surišimo specifiškumą.</w:t>
      </w:r>
    </w:p>
    <w:p w14:paraId="5525C5AE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03FC9DD" w14:textId="77644824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13. Anti-PD-1 antikūnas arba antigeną surišanti dalis pagal bet kurį iš 1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6 punktų, farmacinė kompozicija pagal 7 punktą arba bispecifinė 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rišanti molekulė pagal 12 punktą, skirti naudoti </w:t>
      </w:r>
      <w:r w:rsidR="00523625" w:rsidRPr="00007B44">
        <w:rPr>
          <w:rFonts w:ascii="Helvetica" w:hAnsi="Helvetica" w:cs="Helvetica"/>
          <w:sz w:val="20"/>
          <w:szCs w:val="24"/>
          <w:lang w:val="lt-LT"/>
        </w:rPr>
        <w:t>paciento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, kuriam to reikia, imuniteto stiprinimui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5E673694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D7EE75" w14:textId="493E9F0D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>14. Anti-PD-1 antikūnas arba antigeną surišanti dalis pagal bet kurį iš 1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6 punktų, farmacinė kompozicija pagal 7 punktą arba bispecifinė 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>rišanti molekulė pagal 12 punktą, skirti naudoti vėžio gydymui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 xml:space="preserve"> paciento organizme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137BB6EB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8D8E30" w14:textId="49C9D2FD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15. Anti-PD-1 antikūnas arba antigeną surišanti dalis, farmacinė kompozicija arba bispecifinė 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>rišanti molekulė, skirta naudoti pagal 14 punktą, kur vėžys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kilęs iš audinio, parinkto iš grupės, susidedančios iš odos, plaučių, žarnyno, kiaušidžių, smegenų, prostatos, inkst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ų</w:t>
      </w:r>
      <w:r w:rsidRPr="00007B44">
        <w:rPr>
          <w:rFonts w:ascii="Helvetica" w:hAnsi="Helvetica" w:cs="Helvetica"/>
          <w:sz w:val="20"/>
          <w:szCs w:val="24"/>
          <w:lang w:val="lt-LT"/>
        </w:rPr>
        <w:t>, minkšt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ųjų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audini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ų</w:t>
      </w:r>
      <w:r w:rsidRPr="00007B44">
        <w:rPr>
          <w:rFonts w:ascii="Helvetica" w:hAnsi="Helvetica" w:cs="Helvetica"/>
          <w:sz w:val="20"/>
          <w:szCs w:val="24"/>
          <w:lang w:val="lt-LT"/>
        </w:rPr>
        <w:t>, kraujodaros sistem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os</w:t>
      </w:r>
      <w:r w:rsidRPr="00007B44">
        <w:rPr>
          <w:rFonts w:ascii="Helvetica" w:hAnsi="Helvetica" w:cs="Helvetica"/>
          <w:sz w:val="20"/>
          <w:szCs w:val="24"/>
          <w:lang w:val="lt-LT"/>
        </w:rPr>
        <w:t>, galv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ir kakl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</w:t>
      </w:r>
      <w:r w:rsidRPr="00007B44">
        <w:rPr>
          <w:rFonts w:ascii="Helvetica" w:hAnsi="Helvetica" w:cs="Helvetica"/>
          <w:sz w:val="20"/>
          <w:szCs w:val="24"/>
          <w:lang w:val="lt-LT"/>
        </w:rPr>
        <w:t>, kepen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ų</w:t>
      </w:r>
      <w:r w:rsidRPr="00007B44">
        <w:rPr>
          <w:rFonts w:ascii="Helvetica" w:hAnsi="Helvetica" w:cs="Helvetica"/>
          <w:sz w:val="20"/>
          <w:szCs w:val="24"/>
          <w:lang w:val="lt-LT"/>
        </w:rPr>
        <w:t>, šlapimo pūslė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s</w:t>
      </w:r>
      <w:r w:rsidRPr="00007B44">
        <w:rPr>
          <w:rFonts w:ascii="Helvetica" w:hAnsi="Helvetica" w:cs="Helvetica"/>
          <w:sz w:val="20"/>
          <w:szCs w:val="24"/>
          <w:lang w:val="lt-LT"/>
        </w:rPr>
        <w:t>, krūti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e</w:t>
      </w:r>
      <w:r w:rsidRPr="00007B44">
        <w:rPr>
          <w:rFonts w:ascii="Helvetica" w:hAnsi="Helvetica" w:cs="Helvetica"/>
          <w:sz w:val="20"/>
          <w:szCs w:val="24"/>
          <w:lang w:val="lt-LT"/>
        </w:rPr>
        <w:t>s, skrand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žio</w:t>
      </w:r>
      <w:r w:rsidRPr="00007B44">
        <w:rPr>
          <w:rFonts w:ascii="Helvetica" w:hAnsi="Helvetica" w:cs="Helvetica"/>
          <w:sz w:val="20"/>
          <w:szCs w:val="24"/>
          <w:lang w:val="lt-LT"/>
        </w:rPr>
        <w:t>, gimd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ir kas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os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3E0BD4F1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C2F58AA" w14:textId="2AB1FC9A" w:rsidR="00233180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16. 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Anti-PD-1 antikūnas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arba antigeną surišanti dalis, farmacinė kompozicija arba bispecifinė 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>rišanti molekulė, skirta naudoti pagal 14 punktą, kur vėžys yra parinktas iš grupės, susidedančios iš pažengusios arba metastazavusios melanomos, nesmulkialąstelinio plaučių vėžio, galvos ir kaklo plokščialąstelini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vėž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io</w:t>
      </w:r>
      <w:r w:rsidRPr="00007B44">
        <w:rPr>
          <w:rFonts w:ascii="Helvetica" w:hAnsi="Helvetica" w:cs="Helvetica"/>
          <w:sz w:val="20"/>
          <w:szCs w:val="24"/>
          <w:lang w:val="lt-LT"/>
        </w:rPr>
        <w:t>, inkstų ląstelių karcinom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os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ir Hodžkino limfom</w:t>
      </w:r>
      <w:r w:rsidR="00955657" w:rsidRPr="00007B44">
        <w:rPr>
          <w:rFonts w:ascii="Helvetica" w:hAnsi="Helvetica" w:cs="Helvetica"/>
          <w:sz w:val="20"/>
          <w:szCs w:val="24"/>
          <w:lang w:val="lt-LT"/>
        </w:rPr>
        <w:t>os</w:t>
      </w:r>
      <w:r w:rsidRPr="00007B44">
        <w:rPr>
          <w:rFonts w:ascii="Helvetica" w:hAnsi="Helvetica" w:cs="Helvetica"/>
          <w:sz w:val="20"/>
          <w:szCs w:val="24"/>
          <w:lang w:val="lt-LT"/>
        </w:rPr>
        <w:t>.</w:t>
      </w:r>
    </w:p>
    <w:p w14:paraId="1D04F1BE" w14:textId="77777777" w:rsidR="00233180" w:rsidRPr="00007B44" w:rsidRDefault="00233180" w:rsidP="00007B4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5F36103" w14:textId="44D28F43" w:rsidR="00CC28BC" w:rsidRPr="00007B44" w:rsidRDefault="00233180" w:rsidP="00007B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7B44">
        <w:rPr>
          <w:rFonts w:ascii="Helvetica" w:hAnsi="Helvetica" w:cs="Helvetica"/>
          <w:sz w:val="20"/>
          <w:szCs w:val="24"/>
          <w:lang w:val="lt-LT"/>
        </w:rPr>
        <w:t xml:space="preserve">17. Anti-PD-1 antikūnas arba antigeną 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rišanti dalis, farmacinė kompozicija arba bispecifinė 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>rišanti molekulė, skirta naudoti pagal bet kurį iš 13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>-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16 punktų, kur minėtas antikūnas arba antigeną 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rišanti dalis, farmacinė kompozicija arba bispecifinė 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su</w:t>
      </w:r>
      <w:r w:rsidRPr="00007B44">
        <w:rPr>
          <w:rFonts w:ascii="Helvetica" w:hAnsi="Helvetica" w:cs="Helvetica"/>
          <w:sz w:val="20"/>
          <w:szCs w:val="24"/>
          <w:lang w:val="lt-LT"/>
        </w:rPr>
        <w:t>rišanti molekulė yra įvedami su chemoterapini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agent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u</w:t>
      </w:r>
      <w:r w:rsidRPr="00007B44">
        <w:rPr>
          <w:rFonts w:ascii="Helvetica" w:hAnsi="Helvetica" w:cs="Helvetica"/>
          <w:sz w:val="20"/>
          <w:szCs w:val="24"/>
          <w:lang w:val="lt-LT"/>
        </w:rPr>
        <w:t>, antineoplastini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agent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u</w:t>
      </w:r>
      <w:r w:rsidRPr="00007B44">
        <w:rPr>
          <w:rFonts w:ascii="Helvetica" w:hAnsi="Helvetica" w:cs="Helvetica"/>
          <w:sz w:val="20"/>
          <w:szCs w:val="24"/>
          <w:lang w:val="lt-LT"/>
        </w:rPr>
        <w:t>, antiangiogenini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u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agent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u</w:t>
      </w:r>
      <w:r w:rsidRPr="00007B44">
        <w:rPr>
          <w:rFonts w:ascii="Helvetica" w:hAnsi="Helvetica" w:cs="Helvetica"/>
          <w:sz w:val="20"/>
          <w:szCs w:val="24"/>
          <w:lang w:val="lt-LT"/>
        </w:rPr>
        <w:t>, tirozino kinazės inhibitoriu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>mi</w:t>
      </w:r>
      <w:r w:rsidRPr="00007B44">
        <w:rPr>
          <w:rFonts w:ascii="Helvetica" w:hAnsi="Helvetica" w:cs="Helvetica"/>
          <w:sz w:val="20"/>
          <w:szCs w:val="24"/>
          <w:lang w:val="lt-LT"/>
        </w:rPr>
        <w:t xml:space="preserve"> arba PD-1 </w:t>
      </w:r>
      <w:r w:rsidR="00670A89" w:rsidRPr="00007B44">
        <w:rPr>
          <w:rFonts w:ascii="Helvetica" w:hAnsi="Helvetica" w:cs="Helvetica"/>
          <w:sz w:val="20"/>
          <w:szCs w:val="24"/>
          <w:lang w:val="lt-LT"/>
        </w:rPr>
        <w:t xml:space="preserve">signalinio </w:t>
      </w:r>
      <w:r w:rsidRPr="00007B44">
        <w:rPr>
          <w:rFonts w:ascii="Helvetica" w:hAnsi="Helvetica" w:cs="Helvetica"/>
          <w:sz w:val="20"/>
          <w:szCs w:val="24"/>
          <w:lang w:val="lt-LT"/>
        </w:rPr>
        <w:t>kelio inhibitorius.</w:t>
      </w:r>
    </w:p>
    <w:sectPr w:rsidR="00CC28BC" w:rsidRPr="00007B44" w:rsidSect="00007B4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6EF9" w14:textId="77777777" w:rsidR="000864B6" w:rsidRDefault="000864B6" w:rsidP="007B0A41">
      <w:pPr>
        <w:spacing w:after="0" w:line="240" w:lineRule="auto"/>
      </w:pPr>
      <w:r>
        <w:separator/>
      </w:r>
    </w:p>
  </w:endnote>
  <w:endnote w:type="continuationSeparator" w:id="0">
    <w:p w14:paraId="7BC8359C" w14:textId="77777777" w:rsidR="000864B6" w:rsidRDefault="000864B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6B29" w14:textId="77777777" w:rsidR="000864B6" w:rsidRDefault="000864B6" w:rsidP="007B0A41">
      <w:pPr>
        <w:spacing w:after="0" w:line="240" w:lineRule="auto"/>
      </w:pPr>
      <w:r>
        <w:separator/>
      </w:r>
    </w:p>
  </w:footnote>
  <w:footnote w:type="continuationSeparator" w:id="0">
    <w:p w14:paraId="068D820F" w14:textId="77777777" w:rsidR="000864B6" w:rsidRDefault="000864B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07B44"/>
    <w:rsid w:val="00010A56"/>
    <w:rsid w:val="00034E7C"/>
    <w:rsid w:val="00052CC3"/>
    <w:rsid w:val="00064FA4"/>
    <w:rsid w:val="00065F0D"/>
    <w:rsid w:val="00070D8A"/>
    <w:rsid w:val="000864B6"/>
    <w:rsid w:val="00092D0B"/>
    <w:rsid w:val="000A028C"/>
    <w:rsid w:val="000B048F"/>
    <w:rsid w:val="00120AC9"/>
    <w:rsid w:val="00121D84"/>
    <w:rsid w:val="001308ED"/>
    <w:rsid w:val="00151B4B"/>
    <w:rsid w:val="00161476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3180"/>
    <w:rsid w:val="00234E11"/>
    <w:rsid w:val="0025675F"/>
    <w:rsid w:val="00260D4E"/>
    <w:rsid w:val="00263A3E"/>
    <w:rsid w:val="002813A8"/>
    <w:rsid w:val="002837FC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23625"/>
    <w:rsid w:val="00531225"/>
    <w:rsid w:val="0053198F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0EF0"/>
    <w:rsid w:val="005E21CB"/>
    <w:rsid w:val="005F62B9"/>
    <w:rsid w:val="006049CC"/>
    <w:rsid w:val="00617E21"/>
    <w:rsid w:val="006375BB"/>
    <w:rsid w:val="00670A89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517B3"/>
    <w:rsid w:val="007752B9"/>
    <w:rsid w:val="007760A8"/>
    <w:rsid w:val="00780575"/>
    <w:rsid w:val="00790202"/>
    <w:rsid w:val="00792C7E"/>
    <w:rsid w:val="007944AB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A7B6E"/>
    <w:rsid w:val="008B41AC"/>
    <w:rsid w:val="008C5C62"/>
    <w:rsid w:val="008C60D6"/>
    <w:rsid w:val="008D4E61"/>
    <w:rsid w:val="008E0E9E"/>
    <w:rsid w:val="0090596D"/>
    <w:rsid w:val="00907FD8"/>
    <w:rsid w:val="00916226"/>
    <w:rsid w:val="00947ACD"/>
    <w:rsid w:val="00955657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07615"/>
    <w:rsid w:val="00A22BBD"/>
    <w:rsid w:val="00A4282B"/>
    <w:rsid w:val="00A51B6C"/>
    <w:rsid w:val="00A534B9"/>
    <w:rsid w:val="00A8305B"/>
    <w:rsid w:val="00A92C83"/>
    <w:rsid w:val="00AA3A1F"/>
    <w:rsid w:val="00AB37DE"/>
    <w:rsid w:val="00AD3FF6"/>
    <w:rsid w:val="00AD4691"/>
    <w:rsid w:val="00AE1ECB"/>
    <w:rsid w:val="00AE51EA"/>
    <w:rsid w:val="00AF6F4B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67F47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EE8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4324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2022-06-10T11:20:00Z</dcterms:created>
  <dcterms:modified xsi:type="dcterms:W3CDTF">2022-06-10T11:20:00Z</dcterms:modified>
</cp:coreProperties>
</file>