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33B4" w14:textId="4CED6B94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1.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Priešprasmis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oligonukleotidas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, kur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oligonukleotidas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yra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oligonukleotido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junginys</w:t>
      </w:r>
      <w:r w:rsidR="00F409CD" w:rsidRPr="00F409CD">
        <w:rPr>
          <w:rFonts w:ascii="Helvetica" w:hAnsi="Helvetica"/>
          <w:szCs w:val="18"/>
        </w:rPr>
        <w:t xml:space="preserve"> </w:t>
      </w:r>
      <w:proofErr w:type="spellStart"/>
      <w:r w:rsidR="00F8381E" w:rsidRPr="00F409CD">
        <w:rPr>
          <w:rFonts w:ascii="Helvetica" w:hAnsi="Helvetica"/>
          <w:sz w:val="20"/>
          <w:szCs w:val="18"/>
        </w:rPr>
        <w:t>TTAcActtaattatactTCC</w:t>
      </w:r>
      <w:proofErr w:type="spellEnd"/>
      <w:r w:rsidR="00F8381E" w:rsidRPr="00F409CD">
        <w:rPr>
          <w:rFonts w:ascii="Helvetica" w:hAnsi="Helvetica"/>
          <w:sz w:val="20"/>
          <w:szCs w:val="18"/>
        </w:rPr>
        <w:t xml:space="preserve"> </w:t>
      </w:r>
      <w:r w:rsidRPr="00F409CD">
        <w:rPr>
          <w:rFonts w:ascii="Helvetica" w:hAnsi="Helvetica" w:cs="Times New Roman"/>
          <w:color w:val="auto"/>
          <w:sz w:val="20"/>
          <w:szCs w:val="18"/>
        </w:rPr>
        <w:t>(CMP ID Nr. 626_7), kur didžiosios raidės žymi beta-D-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oksi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LNA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nukleozidus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, mažosios raidės žymi DNR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nukleozidus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, visi LNA C yra 5-metilcitozinai, ir visos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tarpnukleozidinės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jungtys yra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fosforotioato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tarpnukleozidinės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jungtys.</w:t>
      </w:r>
    </w:p>
    <w:p w14:paraId="45DBEE3C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21784D6B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2. Farmacinė kompozicija, apimanti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oligonukleotidą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pagal 1 punktą ir farmaciniu požiūriu priimtinus skiediklį, tirpiklį, nešiklį, druską ir (arba)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adjuvantą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>.</w:t>
      </w:r>
    </w:p>
    <w:p w14:paraId="7C3F626A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1F3ED139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Style w:val="cf01"/>
          <w:rFonts w:ascii="Helvetica" w:hAnsi="Helvetica"/>
          <w:sz w:val="20"/>
          <w:szCs w:val="24"/>
        </w:rPr>
      </w:pPr>
      <w:bookmarkStart w:id="0" w:name="_Hlk63687836"/>
      <w:r w:rsidRPr="00F409CD">
        <w:rPr>
          <w:rFonts w:ascii="Helvetica" w:hAnsi="Helvetica" w:cs="Times New Roman"/>
          <w:color w:val="auto"/>
          <w:sz w:val="20"/>
        </w:rPr>
        <w:t xml:space="preserve">3. Farmacinė kompozicija pagal 2 punktą, kur farmaciniu požiūriu </w:t>
      </w:r>
      <w:bookmarkEnd w:id="0"/>
      <w:r w:rsidRPr="00F409CD">
        <w:rPr>
          <w:rStyle w:val="cf01"/>
          <w:rFonts w:ascii="Helvetica" w:hAnsi="Helvetica" w:cs="Times New Roman"/>
          <w:sz w:val="20"/>
        </w:rPr>
        <w:t>priimtinas skiediklis apima fosfatinį buferinį tirpalą (FBT).</w:t>
      </w:r>
    </w:p>
    <w:p w14:paraId="6815F701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Style w:val="cf01"/>
          <w:rFonts w:ascii="Helvetica" w:hAnsi="Helvetica" w:cs="Times New Roman"/>
          <w:sz w:val="20"/>
        </w:rPr>
      </w:pPr>
    </w:p>
    <w:p w14:paraId="47ED38E5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</w:rPr>
      </w:pPr>
      <w:r w:rsidRPr="00F409CD">
        <w:rPr>
          <w:rFonts w:ascii="Helvetica" w:hAnsi="Helvetica" w:cs="Times New Roman"/>
          <w:color w:val="auto"/>
          <w:sz w:val="20"/>
        </w:rPr>
        <w:t>4. Farmacinė kompozicija pagal 2 arba 3 punktą, kur farmaciniu požiūriu priimtina druska yra natrio druska.</w:t>
      </w:r>
    </w:p>
    <w:p w14:paraId="19BA6549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</w:rPr>
      </w:pPr>
    </w:p>
    <w:p w14:paraId="72AC8414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>5. Farmacinė kompozicija pagal 2 arba 3 punktą, kur farmaciniu požiūriu priimtina druska yra kalio druska.</w:t>
      </w:r>
    </w:p>
    <w:p w14:paraId="20FF3FA3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5F53D9C4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>6. Farmacinė kompozicija pagal bet kurį iš 2–5 punktų, skirta naudoti kaip vaistas.</w:t>
      </w:r>
    </w:p>
    <w:p w14:paraId="45A6140E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2ED620A0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7. </w:t>
      </w:r>
      <w:proofErr w:type="spellStart"/>
      <w:r w:rsidRPr="00F409CD">
        <w:rPr>
          <w:rFonts w:ascii="Helvetica" w:hAnsi="Helvetica" w:cs="Times New Roman"/>
          <w:i/>
          <w:iCs/>
          <w:color w:val="auto"/>
          <w:sz w:val="20"/>
          <w:szCs w:val="18"/>
        </w:rPr>
        <w:t>In</w:t>
      </w:r>
      <w:proofErr w:type="spellEnd"/>
      <w:r w:rsidRPr="00F409CD">
        <w:rPr>
          <w:rFonts w:ascii="Helvetica" w:hAnsi="Helvetica" w:cs="Times New Roman"/>
          <w:i/>
          <w:iCs/>
          <w:color w:val="auto"/>
          <w:sz w:val="20"/>
          <w:szCs w:val="18"/>
        </w:rPr>
        <w:t xml:space="preserve"> </w:t>
      </w:r>
      <w:proofErr w:type="spellStart"/>
      <w:r w:rsidRPr="00F409CD">
        <w:rPr>
          <w:rFonts w:ascii="Helvetica" w:hAnsi="Helvetica" w:cs="Times New Roman"/>
          <w:i/>
          <w:iCs/>
          <w:color w:val="auto"/>
          <w:sz w:val="20"/>
          <w:szCs w:val="18"/>
        </w:rPr>
        <w:t>vitro</w:t>
      </w:r>
      <w:proofErr w:type="spellEnd"/>
      <w:r w:rsidRPr="00F409CD">
        <w:rPr>
          <w:rFonts w:ascii="Helvetica" w:hAnsi="Helvetica" w:cs="Times New Roman"/>
          <w:i/>
          <w:iCs/>
          <w:color w:val="auto"/>
          <w:sz w:val="20"/>
          <w:szCs w:val="18"/>
        </w:rPr>
        <w:t xml:space="preserve"> </w:t>
      </w: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būdas, skirtas UBE3A raiškai tikslinėje ląstelėje sukelti, kur tėvinio UBE3A raiška yra nuslopinta; kur minėtas būdas apima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oligonukleotido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pagal 1 punktą arba farmacinės kompozicijos pagal bet kurį iš 2–5 punktų veiksmingo kiekio įvedimą į minėtą ląstelę.</w:t>
      </w:r>
    </w:p>
    <w:p w14:paraId="57F5D073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67AE6D98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>8. Būdas pagal 7 punktą, kur UBE3A raiška yra padidėjusi mažiausiai 40 %, lyginant su kontrole.</w:t>
      </w:r>
    </w:p>
    <w:p w14:paraId="614661AA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29AF4766" w14:textId="42F2903A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9. Būdas pagal 7 arba 8 punktą, kur SNHG14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transkriptų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kiekis transkripcijos kryptimi nuo SNORD109B</w:t>
      </w:r>
      <w:r w:rsidR="00B1714F">
        <w:rPr>
          <w:rFonts w:ascii="Helvetica" w:hAnsi="Helvetica"/>
          <w:szCs w:val="18"/>
        </w:rPr>
        <w:t xml:space="preserve"> </w:t>
      </w:r>
      <w:r w:rsidRPr="00F409CD">
        <w:rPr>
          <w:rFonts w:ascii="Helvetica" w:hAnsi="Helvetica" w:cs="Times New Roman"/>
          <w:color w:val="auto"/>
          <w:sz w:val="20"/>
          <w:szCs w:val="18"/>
        </w:rPr>
        <w:t>yra sumažėjęs mažiausiai 30 %, lyginant su kontrole.</w:t>
      </w:r>
    </w:p>
    <w:p w14:paraId="2A6F45A7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4452CC1A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>10. Būdas pagal bet kurį iš 7–9 punktų, kur tikslinė ląstelė yra neurono ląstelė.</w:t>
      </w:r>
    </w:p>
    <w:p w14:paraId="5CF6529D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376CD631" w14:textId="77777777" w:rsidR="0029382A" w:rsidRPr="00F409CD" w:rsidRDefault="0029382A" w:rsidP="00F409CD">
      <w:pPr>
        <w:pStyle w:val="Sraopastraipa"/>
        <w:widowControl/>
        <w:spacing w:line="360" w:lineRule="auto"/>
        <w:ind w:left="0" w:firstLine="567"/>
        <w:rPr>
          <w:rFonts w:ascii="Helvetica" w:hAnsi="Helvetica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>11. Būdas pagal bet kurį iš 7–10 punktų, kur SNORD115 raiška nėra reikšmingai paveikta, lyginant su kontrole.</w:t>
      </w:r>
    </w:p>
    <w:p w14:paraId="0806AA32" w14:textId="77777777" w:rsidR="00617F90" w:rsidRPr="00F409CD" w:rsidRDefault="00617F90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</w:p>
    <w:p w14:paraId="6561D9FC" w14:textId="77777777" w:rsidR="0029382A" w:rsidRPr="00F409CD" w:rsidRDefault="0029382A" w:rsidP="00F409CD">
      <w:pPr>
        <w:pStyle w:val="Sraopastraipa"/>
        <w:widowControl/>
        <w:spacing w:line="360" w:lineRule="auto"/>
        <w:ind w:left="0"/>
        <w:rPr>
          <w:rFonts w:ascii="Helvetica" w:hAnsi="Helvetica" w:cs="Times New Roman"/>
          <w:color w:val="auto"/>
          <w:sz w:val="20"/>
          <w:szCs w:val="18"/>
        </w:rPr>
      </w:pPr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12.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Oligonukleotidas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pagal 1 punktą arba farmacinė kompozicija pagal bet kurį iš 2–5 punktų, skirti naudoti </w:t>
      </w:r>
      <w:proofErr w:type="spellStart"/>
      <w:r w:rsidRPr="00F409CD">
        <w:rPr>
          <w:rFonts w:ascii="Helvetica" w:hAnsi="Helvetica" w:cs="Times New Roman"/>
          <w:color w:val="auto"/>
          <w:sz w:val="20"/>
          <w:szCs w:val="18"/>
        </w:rPr>
        <w:t>Angelmano</w:t>
      </w:r>
      <w:proofErr w:type="spellEnd"/>
      <w:r w:rsidRPr="00F409CD">
        <w:rPr>
          <w:rFonts w:ascii="Helvetica" w:hAnsi="Helvetica" w:cs="Times New Roman"/>
          <w:color w:val="auto"/>
          <w:sz w:val="20"/>
          <w:szCs w:val="18"/>
        </w:rPr>
        <w:t xml:space="preserve"> sindromo gydymui ar profilaktikai.</w:t>
      </w:r>
    </w:p>
    <w:p w14:paraId="29E69346" w14:textId="77777777" w:rsidR="0018473C" w:rsidRPr="00F409CD" w:rsidRDefault="0018473C" w:rsidP="00F409CD">
      <w:pPr>
        <w:widowControl/>
        <w:spacing w:line="360" w:lineRule="auto"/>
        <w:rPr>
          <w:rFonts w:ascii="Helvetica" w:hAnsi="Helvetica"/>
          <w:sz w:val="20"/>
        </w:rPr>
      </w:pPr>
    </w:p>
    <w:sectPr w:rsidR="0018473C" w:rsidRPr="00F409CD" w:rsidSect="009E1631">
      <w:pgSz w:w="11906" w:h="16838" w:code="9"/>
      <w:pgMar w:top="1134" w:right="567" w:bottom="567" w:left="1701" w:header="567" w:footer="283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F6AE" w14:textId="77777777" w:rsidR="009E1631" w:rsidRDefault="009E1631" w:rsidP="00617F90">
      <w:r>
        <w:separator/>
      </w:r>
    </w:p>
  </w:endnote>
  <w:endnote w:type="continuationSeparator" w:id="0">
    <w:p w14:paraId="16F6AB49" w14:textId="77777777" w:rsidR="009E1631" w:rsidRDefault="009E1631" w:rsidP="0061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5FB6" w14:textId="77777777" w:rsidR="009E1631" w:rsidRDefault="009E1631" w:rsidP="00617F90">
      <w:r>
        <w:separator/>
      </w:r>
    </w:p>
  </w:footnote>
  <w:footnote w:type="continuationSeparator" w:id="0">
    <w:p w14:paraId="0F07DBC9" w14:textId="77777777" w:rsidR="009E1631" w:rsidRDefault="009E1631" w:rsidP="0061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3257"/>
    <w:rsid w:val="001603B1"/>
    <w:rsid w:val="0018473C"/>
    <w:rsid w:val="00276E95"/>
    <w:rsid w:val="0028658E"/>
    <w:rsid w:val="0029382A"/>
    <w:rsid w:val="002B7DF2"/>
    <w:rsid w:val="002C37E5"/>
    <w:rsid w:val="002C447F"/>
    <w:rsid w:val="00362981"/>
    <w:rsid w:val="00365F5C"/>
    <w:rsid w:val="00515B8F"/>
    <w:rsid w:val="00575236"/>
    <w:rsid w:val="005A2745"/>
    <w:rsid w:val="00617F90"/>
    <w:rsid w:val="006A06C5"/>
    <w:rsid w:val="007668C7"/>
    <w:rsid w:val="008B5CBC"/>
    <w:rsid w:val="008C6247"/>
    <w:rsid w:val="00947F90"/>
    <w:rsid w:val="009E1631"/>
    <w:rsid w:val="00A24BCC"/>
    <w:rsid w:val="00A444E4"/>
    <w:rsid w:val="00AC3257"/>
    <w:rsid w:val="00B1714F"/>
    <w:rsid w:val="00C15C7F"/>
    <w:rsid w:val="00D15B06"/>
    <w:rsid w:val="00D73A8C"/>
    <w:rsid w:val="00DC6934"/>
    <w:rsid w:val="00E81BC8"/>
    <w:rsid w:val="00EA4C27"/>
    <w:rsid w:val="00F409CD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8E87F"/>
  <w15:chartTrackingRefBased/>
  <w15:docId w15:val="{B1658DE8-8914-45C6-85DF-70A37A8A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82A"/>
    <w:pPr>
      <w:widowControl w:val="0"/>
      <w:jc w:val="both"/>
    </w:pPr>
    <w:rPr>
      <w:rFonts w:ascii="Arial" w:eastAsia="Microsoft Sans Serif" w:hAnsi="Arial" w:cs="Microsoft Sans Serif"/>
      <w:color w:val="000000"/>
      <w:sz w:val="18"/>
      <w:szCs w:val="24"/>
      <w:lang w:eastAsia="en-US" w:bidi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32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32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32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32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32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32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32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325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32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325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325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325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325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325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325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325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32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32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32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3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325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AC32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325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32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325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AC3257"/>
    <w:rPr>
      <w:b/>
      <w:bCs/>
      <w:smallCaps/>
      <w:color w:val="365F91" w:themeColor="accent1" w:themeShade="BF"/>
      <w:spacing w:val="5"/>
    </w:rPr>
  </w:style>
  <w:style w:type="character" w:customStyle="1" w:styleId="cf01">
    <w:name w:val="cf01"/>
    <w:basedOn w:val="Numatytasispastraiposriftas"/>
    <w:rsid w:val="0029382A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17F9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7F90"/>
    <w:rPr>
      <w:rFonts w:ascii="Arial" w:eastAsia="Microsoft Sans Serif" w:hAnsi="Arial" w:cs="Microsoft Sans Serif"/>
      <w:color w:val="000000"/>
      <w:sz w:val="18"/>
      <w:szCs w:val="24"/>
      <w:lang w:eastAsia="en-US" w:bidi="en-US"/>
    </w:rPr>
  </w:style>
  <w:style w:type="paragraph" w:styleId="Porat">
    <w:name w:val="footer"/>
    <w:basedOn w:val="prastasis"/>
    <w:link w:val="PoratDiagrama"/>
    <w:uiPriority w:val="99"/>
    <w:unhideWhenUsed/>
    <w:rsid w:val="00617F9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7F90"/>
    <w:rPr>
      <w:rFonts w:ascii="Arial" w:eastAsia="Microsoft Sans Serif" w:hAnsi="Arial" w:cs="Microsoft Sans Serif"/>
      <w:color w:val="000000"/>
      <w:sz w:val="18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1541</Characters>
  <Application>Microsoft Office Word</Application>
  <DocSecurity>0</DocSecurity>
  <Lines>36</Lines>
  <Paragraphs>15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6</cp:revision>
  <dcterms:created xsi:type="dcterms:W3CDTF">2024-03-20T11:49:00Z</dcterms:created>
  <dcterms:modified xsi:type="dcterms:W3CDTF">2024-03-20T11:51:00Z</dcterms:modified>
</cp:coreProperties>
</file>