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19D25" w14:textId="77777777"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1. Lipidų nanodalelė (LNP), apimanti mRNR, koduojančią terapinį baltymą, kur LNP apima katijoninį lipidą, pagalbinį lipidą, struktūrinį lipidą ir stabilizatorių, kur katijoninis lipidas yra jonizuojamas lipidas,</w:t>
      </w:r>
    </w:p>
    <w:p w14:paraId="51467061"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kur stabilizatorius yra PEG lipidas, ir kur PEG lipidas yra junginys, kurio formulė (V-OH):</w:t>
      </w:r>
    </w:p>
    <w:p w14:paraId="7B3AE38E" w14:textId="7873565F" w:rsidR="00393712" w:rsidRDefault="00393712" w:rsidP="009B1847">
      <w:pPr>
        <w:spacing w:line="360" w:lineRule="auto"/>
        <w:jc w:val="center"/>
        <w:rPr>
          <w:rFonts w:ascii="Helvetica" w:eastAsia="DengXian" w:hAnsi="Helvetica" w:cs="Helvetica"/>
          <w:bCs/>
          <w:noProof/>
          <w:szCs w:val="24"/>
          <w:lang w:eastAsia="lt-LT"/>
        </w:rPr>
      </w:pPr>
      <w:r w:rsidRPr="009B1847">
        <w:rPr>
          <w:rFonts w:ascii="Helvetica" w:eastAsia="DengXian" w:hAnsi="Helvetica" w:cs="Helvetica"/>
          <w:bCs/>
          <w:noProof/>
          <w:szCs w:val="24"/>
          <w:lang w:eastAsia="lt-LT"/>
        </w:rPr>
        <w:drawing>
          <wp:inline distT="0" distB="0" distL="0" distR="0" wp14:anchorId="7BC57085" wp14:editId="25EE23BC">
            <wp:extent cx="1283203" cy="996950"/>
            <wp:effectExtent l="0" t="0" r="0" b="0"/>
            <wp:docPr id="773" name="Picture 77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Picture 773" descr="Diagram&#10;&#10;Description automatically generated"/>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86215" cy="999290"/>
                    </a:xfrm>
                    <a:prstGeom prst="rect">
                      <a:avLst/>
                    </a:prstGeom>
                    <a:noFill/>
                    <a:ln>
                      <a:noFill/>
                    </a:ln>
                  </pic:spPr>
                </pic:pic>
              </a:graphicData>
            </a:graphic>
          </wp:inline>
        </w:drawing>
      </w:r>
    </w:p>
    <w:p w14:paraId="64F7E057" w14:textId="77777777" w:rsidR="009B1847" w:rsidRPr="009B1847" w:rsidRDefault="009B1847" w:rsidP="009B1847">
      <w:pPr>
        <w:spacing w:line="360" w:lineRule="auto"/>
        <w:jc w:val="both"/>
        <w:rPr>
          <w:rFonts w:ascii="Helvetica" w:hAnsi="Helvetica" w:cs="Helvetica"/>
          <w:bCs/>
          <w:szCs w:val="24"/>
          <w:lang w:eastAsia="zh-CN"/>
        </w:rPr>
      </w:pPr>
      <w:r w:rsidRPr="009B1847">
        <w:rPr>
          <w:rFonts w:ascii="Helvetica" w:eastAsia="DengXian" w:hAnsi="Helvetica" w:cs="Helvetica"/>
          <w:bCs/>
          <w:szCs w:val="24"/>
          <w:lang w:eastAsia="zh-CN"/>
        </w:rPr>
        <w:t xml:space="preserve">arba jo farmaciniu požiūriu priimtina druska, kur: </w:t>
      </w:r>
    </w:p>
    <w:p w14:paraId="146668B0"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r yra sveikas skaičius nuo 1 iki 100 imtinai; ir R</w:t>
      </w:r>
      <w:r w:rsidRPr="009B1847">
        <w:rPr>
          <w:rFonts w:ascii="Helvetica" w:eastAsia="DengXian" w:hAnsi="Helvetica" w:cs="Helvetica"/>
          <w:bCs/>
          <w:szCs w:val="24"/>
          <w:vertAlign w:val="superscript"/>
          <w:lang w:eastAsia="zh-CN"/>
        </w:rPr>
        <w:t>5</w:t>
      </w:r>
      <w:r w:rsidRPr="009B1847">
        <w:rPr>
          <w:rFonts w:ascii="Helvetica" w:eastAsia="DengXian" w:hAnsi="Helvetica" w:cs="Helvetica"/>
          <w:bCs/>
          <w:szCs w:val="24"/>
          <w:lang w:eastAsia="zh-CN"/>
        </w:rPr>
        <w:t xml:space="preserve"> yra pasirinktinai pakeistas C</w:t>
      </w:r>
      <w:r w:rsidRPr="009B1847">
        <w:rPr>
          <w:rFonts w:ascii="Helvetica" w:eastAsia="DengXian" w:hAnsi="Helvetica" w:cs="Helvetica"/>
          <w:bCs/>
          <w:szCs w:val="24"/>
          <w:vertAlign w:val="subscript"/>
          <w:lang w:eastAsia="zh-CN"/>
        </w:rPr>
        <w:t>10-40</w:t>
      </w:r>
      <w:r w:rsidRPr="009B1847">
        <w:rPr>
          <w:rFonts w:ascii="Helvetica" w:eastAsia="DengXian" w:hAnsi="Helvetica" w:cs="Helvetica"/>
          <w:bCs/>
          <w:szCs w:val="24"/>
          <w:lang w:eastAsia="zh-CN"/>
        </w:rPr>
        <w:t xml:space="preserve"> alkilas, pasirinktinai pakeistas C</w:t>
      </w:r>
      <w:r w:rsidRPr="009B1847">
        <w:rPr>
          <w:rFonts w:ascii="Helvetica" w:eastAsia="DengXian" w:hAnsi="Helvetica" w:cs="Helvetica"/>
          <w:bCs/>
          <w:szCs w:val="24"/>
          <w:vertAlign w:val="subscript"/>
          <w:lang w:eastAsia="zh-CN"/>
        </w:rPr>
        <w:t>10-40</w:t>
      </w:r>
      <w:r w:rsidRPr="009B1847">
        <w:rPr>
          <w:rFonts w:ascii="Helvetica" w:eastAsia="DengXian" w:hAnsi="Helvetica" w:cs="Helvetica"/>
          <w:bCs/>
          <w:szCs w:val="24"/>
          <w:lang w:eastAsia="zh-CN"/>
        </w:rPr>
        <w:t xml:space="preserve"> alkenilas arba pasirinktinai pakeistas C</w:t>
      </w:r>
      <w:r w:rsidRPr="009B1847">
        <w:rPr>
          <w:rFonts w:ascii="Helvetica" w:eastAsia="DengXian" w:hAnsi="Helvetica" w:cs="Helvetica"/>
          <w:bCs/>
          <w:szCs w:val="24"/>
          <w:vertAlign w:val="subscript"/>
          <w:lang w:eastAsia="zh-CN"/>
        </w:rPr>
        <w:t>10-40</w:t>
      </w:r>
      <w:r w:rsidRPr="009B1847">
        <w:rPr>
          <w:rFonts w:ascii="Helvetica" w:eastAsia="DengXian" w:hAnsi="Helvetica" w:cs="Helvetica"/>
          <w:bCs/>
          <w:szCs w:val="24"/>
          <w:lang w:eastAsia="zh-CN"/>
        </w:rPr>
        <w:t xml:space="preserve"> alkinilas; ir</w:t>
      </w:r>
    </w:p>
    <w:p w14:paraId="37CADDD0"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kur LNP nesukelia pagreitinto kraujo valymo.</w:t>
      </w:r>
    </w:p>
    <w:p w14:paraId="7CAC3F0A" w14:textId="77777777" w:rsidR="009B1847" w:rsidRPr="009B1847" w:rsidRDefault="009B1847" w:rsidP="009B1847">
      <w:pPr>
        <w:spacing w:line="360" w:lineRule="auto"/>
        <w:jc w:val="both"/>
        <w:rPr>
          <w:rFonts w:ascii="Helvetica" w:hAnsi="Helvetica" w:cs="Helvetica"/>
          <w:bCs/>
          <w:szCs w:val="24"/>
          <w:lang w:eastAsia="zh-CN"/>
        </w:rPr>
      </w:pPr>
    </w:p>
    <w:p w14:paraId="76FB5199" w14:textId="548FFBAF"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 xml:space="preserve">2. LNP pagal 1 punktą, b e s i s k i r i a n t i s tuo, kad jonizuojamas lipidas yra (XI) formulės: </w:t>
      </w:r>
    </w:p>
    <w:p w14:paraId="6446F160" w14:textId="35D0E582" w:rsidR="000479A5" w:rsidRDefault="000479A5" w:rsidP="009B1847">
      <w:pPr>
        <w:spacing w:line="360" w:lineRule="auto"/>
        <w:jc w:val="center"/>
        <w:rPr>
          <w:rFonts w:ascii="Helvetica" w:eastAsia="DengXian" w:hAnsi="Helvetica" w:cs="Helvetica"/>
          <w:bCs/>
          <w:noProof/>
          <w:szCs w:val="24"/>
          <w:lang w:eastAsia="lt-LT"/>
        </w:rPr>
      </w:pPr>
      <w:r>
        <w:rPr>
          <w:rFonts w:ascii="Helvetica" w:eastAsia="DengXian" w:hAnsi="Helvetica" w:cs="Helvetica"/>
          <w:bCs/>
          <w:noProof/>
          <w:szCs w:val="24"/>
          <w:lang w:eastAsia="lt-LT"/>
        </w:rPr>
        <w:drawing>
          <wp:inline distT="0" distB="0" distL="0" distR="0" wp14:anchorId="79034720" wp14:editId="1D71E7A8">
            <wp:extent cx="2054225" cy="1268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4225" cy="1268095"/>
                    </a:xfrm>
                    <a:prstGeom prst="rect">
                      <a:avLst/>
                    </a:prstGeom>
                    <a:noFill/>
                  </pic:spPr>
                </pic:pic>
              </a:graphicData>
            </a:graphic>
          </wp:inline>
        </w:drawing>
      </w:r>
    </w:p>
    <w:p w14:paraId="3196E1FE" w14:textId="77777777" w:rsidR="009B1847" w:rsidRPr="009B1847" w:rsidRDefault="009B1847" w:rsidP="009B1847">
      <w:pPr>
        <w:spacing w:line="360" w:lineRule="auto"/>
        <w:jc w:val="both"/>
        <w:rPr>
          <w:rFonts w:ascii="Helvetica" w:hAnsi="Helvetica" w:cs="Helvetica"/>
          <w:bCs/>
          <w:szCs w:val="24"/>
          <w:lang w:eastAsia="zh-CN"/>
        </w:rPr>
      </w:pPr>
      <w:r w:rsidRPr="009B1847">
        <w:rPr>
          <w:rFonts w:ascii="Helvetica" w:eastAsia="DengXian" w:hAnsi="Helvetica" w:cs="Helvetica"/>
          <w:bCs/>
          <w:szCs w:val="24"/>
          <w:lang w:eastAsia="zh-CN"/>
        </w:rPr>
        <w:t xml:space="preserve">arba jo farmaciniu požiūriu priimtina druska, kurioje: </w:t>
      </w:r>
    </w:p>
    <w:p w14:paraId="046894E9"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1 yra pasirinktas iš 1, 2, 3, 4 ir 5;</w:t>
      </w:r>
    </w:p>
    <w:p w14:paraId="3B2554A2"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M ir M’ yra nepriklausomai parinkti iš -C(O)O-, -OC(O)-, -C(O)N(R’)-, -P(O)(OR')O-, -SS- , arilo ir heteroarilo grupių;</w:t>
      </w:r>
    </w:p>
    <w:p w14:paraId="222CA837"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M1 yra jungtis arba</w:t>
      </w:r>
      <w:r w:rsidRPr="009B1847">
        <w:rPr>
          <w:rFonts w:ascii="Helvetica" w:eastAsia="DengXian" w:hAnsi="Helvetica" w:cs="Helvetica"/>
          <w:bCs/>
          <w:szCs w:val="24"/>
          <w:vertAlign w:val="subscript"/>
          <w:lang w:eastAsia="zh-CN"/>
        </w:rPr>
        <w:t>M</w:t>
      </w:r>
      <w:r w:rsidRPr="009B1847">
        <w:rPr>
          <w:rFonts w:ascii="Helvetica" w:eastAsia="DengXian" w:hAnsi="Helvetica" w:cs="Helvetica"/>
          <w:bCs/>
          <w:szCs w:val="24"/>
          <w:lang w:eastAsia="zh-CN"/>
        </w:rPr>
        <w:t xml:space="preserve"> ’;</w:t>
      </w:r>
    </w:p>
    <w:p w14:paraId="263E05E5"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R</w:t>
      </w:r>
      <w:r w:rsidRPr="009B1847">
        <w:rPr>
          <w:rFonts w:ascii="Helvetica" w:eastAsia="DengXian" w:hAnsi="Helvetica" w:cs="Helvetica"/>
          <w:bCs/>
          <w:szCs w:val="24"/>
          <w:vertAlign w:val="subscript"/>
          <w:lang w:eastAsia="zh-CN"/>
        </w:rPr>
        <w:t>2</w:t>
      </w:r>
      <w:r w:rsidRPr="009B1847">
        <w:rPr>
          <w:rFonts w:ascii="Helvetica" w:eastAsia="DengXian" w:hAnsi="Helvetica" w:cs="Helvetica"/>
          <w:bCs/>
          <w:szCs w:val="24"/>
          <w:lang w:eastAsia="zh-CN"/>
        </w:rPr>
        <w:t xml:space="preserve"> ir R</w:t>
      </w:r>
      <w:r w:rsidRPr="009B1847">
        <w:rPr>
          <w:rFonts w:ascii="Helvetica" w:eastAsia="DengXian" w:hAnsi="Helvetica" w:cs="Helvetica"/>
          <w:bCs/>
          <w:szCs w:val="24"/>
          <w:vertAlign w:val="subscript"/>
          <w:lang w:eastAsia="zh-CN"/>
        </w:rPr>
        <w:t>3</w:t>
      </w:r>
      <w:r w:rsidRPr="009B1847">
        <w:rPr>
          <w:rFonts w:ascii="Helvetica" w:eastAsia="DengXian" w:hAnsi="Helvetica" w:cs="Helvetica"/>
          <w:bCs/>
          <w:szCs w:val="24"/>
          <w:lang w:eastAsia="zh-CN"/>
        </w:rPr>
        <w:t xml:space="preserve"> yra nepriklausomai parinkti iš grupės, susidedančios iš H,C</w:t>
      </w:r>
      <w:r w:rsidRPr="009B1847">
        <w:rPr>
          <w:rFonts w:ascii="Helvetica" w:eastAsia="DengXian" w:hAnsi="Helvetica" w:cs="Helvetica"/>
          <w:bCs/>
          <w:szCs w:val="24"/>
          <w:vertAlign w:val="subscript"/>
          <w:lang w:eastAsia="zh-CN"/>
        </w:rPr>
        <w:t>1-14</w:t>
      </w:r>
      <w:r w:rsidRPr="009B1847">
        <w:rPr>
          <w:rFonts w:ascii="Helvetica" w:eastAsia="DengXian" w:hAnsi="Helvetica" w:cs="Helvetica"/>
          <w:bCs/>
          <w:szCs w:val="24"/>
          <w:lang w:eastAsia="zh-CN"/>
        </w:rPr>
        <w:t xml:space="preserve"> alkilo ir C</w:t>
      </w:r>
      <w:r w:rsidRPr="009B1847">
        <w:rPr>
          <w:rFonts w:ascii="Helvetica" w:eastAsia="DengXian" w:hAnsi="Helvetica" w:cs="Helvetica"/>
          <w:bCs/>
          <w:szCs w:val="24"/>
          <w:vertAlign w:val="subscript"/>
          <w:lang w:eastAsia="zh-CN"/>
        </w:rPr>
        <w:t>2-14</w:t>
      </w:r>
      <w:r w:rsidRPr="009B1847">
        <w:rPr>
          <w:rFonts w:ascii="Helvetica" w:eastAsia="DengXian" w:hAnsi="Helvetica" w:cs="Helvetica"/>
          <w:bCs/>
          <w:szCs w:val="24"/>
          <w:lang w:eastAsia="zh-CN"/>
        </w:rPr>
        <w:t xml:space="preserve"> alkenilo;</w:t>
      </w:r>
    </w:p>
    <w:p w14:paraId="3474F9B5"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R</w:t>
      </w:r>
      <w:r w:rsidRPr="009B1847">
        <w:rPr>
          <w:rFonts w:ascii="Helvetica" w:eastAsia="DengXian" w:hAnsi="Helvetica" w:cs="Helvetica"/>
          <w:bCs/>
          <w:szCs w:val="24"/>
          <w:vertAlign w:val="subscript"/>
          <w:lang w:eastAsia="zh-CN"/>
        </w:rPr>
        <w:t>4</w:t>
      </w:r>
      <w:r w:rsidRPr="009B1847">
        <w:rPr>
          <w:rFonts w:ascii="Helvetica" w:eastAsia="DengXian" w:hAnsi="Helvetica" w:cs="Helvetica"/>
          <w:bCs/>
          <w:szCs w:val="24"/>
          <w:lang w:eastAsia="zh-CN"/>
        </w:rPr>
        <w:t xml:space="preserve"> yra nepakeistas C</w:t>
      </w:r>
      <w:r w:rsidRPr="009B1847">
        <w:rPr>
          <w:rFonts w:ascii="Helvetica" w:eastAsia="DengXian" w:hAnsi="Helvetica" w:cs="Helvetica"/>
          <w:bCs/>
          <w:szCs w:val="24"/>
          <w:vertAlign w:val="subscript"/>
          <w:lang w:eastAsia="zh-CN"/>
        </w:rPr>
        <w:t>1-3</w:t>
      </w:r>
      <w:r w:rsidRPr="009B1847">
        <w:rPr>
          <w:rFonts w:ascii="Helvetica" w:eastAsia="DengXian" w:hAnsi="Helvetica" w:cs="Helvetica"/>
          <w:bCs/>
          <w:szCs w:val="24"/>
          <w:lang w:eastAsia="zh-CN"/>
        </w:rPr>
        <w:t xml:space="preserve"> alkilas arba -(CH</w:t>
      </w:r>
      <w:r w:rsidRPr="009B1847">
        <w:rPr>
          <w:rFonts w:ascii="Helvetica" w:eastAsia="DengXian" w:hAnsi="Helvetica" w:cs="Helvetica"/>
          <w:bCs/>
          <w:szCs w:val="24"/>
          <w:vertAlign w:val="subscript"/>
          <w:lang w:eastAsia="zh-CN"/>
        </w:rPr>
        <w:t>2</w:t>
      </w:r>
      <w:r w:rsidRPr="009B1847">
        <w:rPr>
          <w:rFonts w:ascii="Helvetica" w:eastAsia="DengXian" w:hAnsi="Helvetica" w:cs="Helvetica"/>
          <w:bCs/>
          <w:szCs w:val="24"/>
          <w:lang w:eastAsia="zh-CN"/>
        </w:rPr>
        <w:t>)</w:t>
      </w:r>
      <w:r w:rsidRPr="009B1847">
        <w:rPr>
          <w:rFonts w:ascii="Helvetica" w:eastAsia="DengXian" w:hAnsi="Helvetica" w:cs="Helvetica"/>
          <w:bCs/>
          <w:szCs w:val="24"/>
          <w:vertAlign w:val="subscript"/>
          <w:lang w:eastAsia="zh-CN"/>
        </w:rPr>
        <w:t>n</w:t>
      </w:r>
      <w:r w:rsidRPr="009B1847">
        <w:rPr>
          <w:rFonts w:ascii="Helvetica" w:eastAsia="DengXian" w:hAnsi="Helvetica" w:cs="Helvetica"/>
          <w:bCs/>
          <w:szCs w:val="24"/>
          <w:lang w:eastAsia="zh-CN"/>
        </w:rPr>
        <w:t>Q, kuriamenyra parinktas iš2, 3 arba 4 ir Q yra OH, -NHC(S)N(R)</w:t>
      </w:r>
      <w:r w:rsidRPr="009B1847">
        <w:rPr>
          <w:rFonts w:ascii="Helvetica" w:eastAsia="DengXian" w:hAnsi="Helvetica" w:cs="Helvetica"/>
          <w:bCs/>
          <w:szCs w:val="24"/>
          <w:vertAlign w:val="subscript"/>
          <w:lang w:eastAsia="zh-CN"/>
        </w:rPr>
        <w:t>2</w:t>
      </w:r>
      <w:r w:rsidRPr="009B1847">
        <w:rPr>
          <w:rFonts w:ascii="Helvetica" w:eastAsia="DengXian" w:hAnsi="Helvetica" w:cs="Helvetica"/>
          <w:bCs/>
          <w:szCs w:val="24"/>
          <w:lang w:eastAsia="zh-CN"/>
        </w:rPr>
        <w:t>, -NHC( O)N(R)</w:t>
      </w:r>
      <w:r w:rsidRPr="009B1847">
        <w:rPr>
          <w:rFonts w:ascii="Helvetica" w:eastAsia="DengXian" w:hAnsi="Helvetica" w:cs="Helvetica"/>
          <w:bCs/>
          <w:szCs w:val="24"/>
          <w:vertAlign w:val="subscript"/>
          <w:lang w:eastAsia="zh-CN"/>
        </w:rPr>
        <w:t>2</w:t>
      </w:r>
      <w:r w:rsidRPr="009B1847">
        <w:rPr>
          <w:rFonts w:ascii="Helvetica" w:eastAsia="DengXian" w:hAnsi="Helvetica" w:cs="Helvetica"/>
          <w:bCs/>
          <w:szCs w:val="24"/>
          <w:lang w:eastAsia="zh-CN"/>
        </w:rPr>
        <w:t>, -N(R)C(O)R, -N(R)S(O)</w:t>
      </w:r>
      <w:r w:rsidRPr="009B1847">
        <w:rPr>
          <w:rFonts w:ascii="Helvetica" w:eastAsia="DengXian" w:hAnsi="Helvetica" w:cs="Helvetica"/>
          <w:bCs/>
          <w:szCs w:val="24"/>
          <w:vertAlign w:val="subscript"/>
          <w:lang w:eastAsia="zh-CN"/>
        </w:rPr>
        <w:t>2</w:t>
      </w:r>
      <w:r w:rsidRPr="009B1847">
        <w:rPr>
          <w:rFonts w:ascii="Helvetica" w:eastAsia="DengXian" w:hAnsi="Helvetica" w:cs="Helvetica"/>
          <w:bCs/>
          <w:szCs w:val="24"/>
          <w:lang w:eastAsia="zh-CN"/>
        </w:rPr>
        <w:t>R, -N(R)R</w:t>
      </w:r>
      <w:r w:rsidRPr="009B1847">
        <w:rPr>
          <w:rFonts w:ascii="Helvetica" w:eastAsia="DengXian" w:hAnsi="Helvetica" w:cs="Helvetica"/>
          <w:bCs/>
          <w:szCs w:val="24"/>
          <w:vertAlign w:val="subscript"/>
          <w:lang w:eastAsia="zh-CN"/>
        </w:rPr>
        <w:t>8</w:t>
      </w:r>
      <w:r w:rsidRPr="009B1847">
        <w:rPr>
          <w:rFonts w:ascii="Helvetica" w:eastAsia="DengXian" w:hAnsi="Helvetica" w:cs="Helvetica"/>
          <w:bCs/>
          <w:szCs w:val="24"/>
          <w:lang w:eastAsia="zh-CN"/>
        </w:rPr>
        <w:t>, -NHC(=NR</w:t>
      </w:r>
      <w:r w:rsidRPr="009B1847">
        <w:rPr>
          <w:rFonts w:ascii="Helvetica" w:eastAsia="DengXian" w:hAnsi="Helvetica" w:cs="Helvetica"/>
          <w:bCs/>
          <w:szCs w:val="24"/>
          <w:vertAlign w:val="subscript"/>
          <w:lang w:eastAsia="zh-CN"/>
        </w:rPr>
        <w:t>9</w:t>
      </w:r>
      <w:r w:rsidRPr="009B1847">
        <w:rPr>
          <w:rFonts w:ascii="Helvetica" w:eastAsia="DengXian" w:hAnsi="Helvetica" w:cs="Helvetica"/>
          <w:bCs/>
          <w:szCs w:val="24"/>
          <w:lang w:eastAsia="zh-CN"/>
        </w:rPr>
        <w:t>)N(R)</w:t>
      </w:r>
      <w:r w:rsidRPr="009B1847">
        <w:rPr>
          <w:rFonts w:ascii="Helvetica" w:eastAsia="DengXian" w:hAnsi="Helvetica" w:cs="Helvetica"/>
          <w:bCs/>
          <w:szCs w:val="24"/>
          <w:vertAlign w:val="subscript"/>
          <w:lang w:eastAsia="zh-CN"/>
        </w:rPr>
        <w:t>2</w:t>
      </w:r>
      <w:r w:rsidRPr="009B1847">
        <w:rPr>
          <w:rFonts w:ascii="Helvetica" w:eastAsia="DengXian" w:hAnsi="Helvetica" w:cs="Helvetica"/>
          <w:bCs/>
          <w:szCs w:val="24"/>
          <w:lang w:eastAsia="zh-CN"/>
        </w:rPr>
        <w:t>, - NHC(=CHR</w:t>
      </w:r>
      <w:r w:rsidRPr="009B1847">
        <w:rPr>
          <w:rFonts w:ascii="Helvetica" w:eastAsia="DengXian" w:hAnsi="Helvetica" w:cs="Helvetica"/>
          <w:bCs/>
          <w:szCs w:val="24"/>
          <w:vertAlign w:val="subscript"/>
          <w:lang w:eastAsia="zh-CN"/>
        </w:rPr>
        <w:t>9</w:t>
      </w:r>
      <w:r w:rsidRPr="009B1847">
        <w:rPr>
          <w:rFonts w:ascii="Helvetica" w:eastAsia="DengXian" w:hAnsi="Helvetica" w:cs="Helvetica"/>
          <w:bCs/>
          <w:szCs w:val="24"/>
          <w:lang w:eastAsia="zh-CN"/>
        </w:rPr>
        <w:t>)N(R)</w:t>
      </w:r>
      <w:r w:rsidRPr="009B1847">
        <w:rPr>
          <w:rFonts w:ascii="Helvetica" w:eastAsia="DengXian" w:hAnsi="Helvetica" w:cs="Helvetica"/>
          <w:bCs/>
          <w:szCs w:val="24"/>
          <w:vertAlign w:val="subscript"/>
          <w:lang w:eastAsia="zh-CN"/>
        </w:rPr>
        <w:t>2</w:t>
      </w:r>
      <w:r w:rsidRPr="009B1847">
        <w:rPr>
          <w:rFonts w:ascii="Helvetica" w:eastAsia="DengXian" w:hAnsi="Helvetica" w:cs="Helvetica"/>
          <w:bCs/>
          <w:szCs w:val="24"/>
          <w:lang w:eastAsia="zh-CN"/>
        </w:rPr>
        <w:t>, -OC(O)N(R)</w:t>
      </w:r>
      <w:r w:rsidRPr="009B1847">
        <w:rPr>
          <w:rFonts w:ascii="Helvetica" w:eastAsia="DengXian" w:hAnsi="Helvetica" w:cs="Helvetica"/>
          <w:bCs/>
          <w:szCs w:val="24"/>
          <w:vertAlign w:val="subscript"/>
          <w:lang w:eastAsia="zh-CN"/>
        </w:rPr>
        <w:t>2</w:t>
      </w:r>
      <w:r w:rsidRPr="009B1847">
        <w:rPr>
          <w:rFonts w:ascii="Helvetica" w:eastAsia="DengXian" w:hAnsi="Helvetica" w:cs="Helvetica"/>
          <w:bCs/>
          <w:szCs w:val="24"/>
          <w:lang w:eastAsia="zh-CN"/>
        </w:rPr>
        <w:t>, -N(R)C(O)OR, heteroarilas arba heterocikloalkilas;</w:t>
      </w:r>
    </w:p>
    <w:p w14:paraId="069C7497"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R’ yra nepriklausomai parinktas iš grupės, susidedančios išC</w:t>
      </w:r>
      <w:r w:rsidRPr="009B1847">
        <w:rPr>
          <w:rFonts w:ascii="Helvetica" w:eastAsia="DengXian" w:hAnsi="Helvetica" w:cs="Helvetica"/>
          <w:bCs/>
          <w:szCs w:val="24"/>
          <w:vertAlign w:val="subscript"/>
          <w:lang w:eastAsia="zh-CN"/>
        </w:rPr>
        <w:t>1-8</w:t>
      </w:r>
      <w:r w:rsidRPr="009B1847">
        <w:rPr>
          <w:rFonts w:ascii="Helvetica" w:eastAsia="DengXian" w:hAnsi="Helvetica" w:cs="Helvetica"/>
          <w:bCs/>
          <w:szCs w:val="24"/>
          <w:lang w:eastAsia="zh-CN"/>
        </w:rPr>
        <w:t xml:space="preserve"> alkilo,C</w:t>
      </w:r>
      <w:r w:rsidRPr="009B1847">
        <w:rPr>
          <w:rFonts w:ascii="Helvetica" w:eastAsia="DengXian" w:hAnsi="Helvetica" w:cs="Helvetica"/>
          <w:bCs/>
          <w:szCs w:val="24"/>
          <w:vertAlign w:val="subscript"/>
          <w:lang w:eastAsia="zh-CN"/>
        </w:rPr>
        <w:t>2-18</w:t>
      </w:r>
      <w:r w:rsidRPr="009B1847">
        <w:rPr>
          <w:rFonts w:ascii="Helvetica" w:eastAsia="DengXian" w:hAnsi="Helvetica" w:cs="Helvetica"/>
          <w:bCs/>
          <w:szCs w:val="24"/>
          <w:lang w:eastAsia="zh-CN"/>
        </w:rPr>
        <w:t xml:space="preserve"> alkenilo, -R</w:t>
      </w:r>
      <w:r w:rsidRPr="009B1847">
        <w:rPr>
          <w:rFonts w:ascii="Helvetica" w:eastAsia="DengXian" w:hAnsi="Helvetica" w:cs="Helvetica"/>
          <w:bCs/>
          <w:szCs w:val="24"/>
          <w:vertAlign w:val="superscript"/>
          <w:lang w:eastAsia="zh-CN"/>
        </w:rPr>
        <w:t>∗</w:t>
      </w:r>
      <w:r w:rsidRPr="009B1847">
        <w:rPr>
          <w:rFonts w:ascii="Helvetica" w:eastAsia="DengXian" w:hAnsi="Helvetica" w:cs="Helvetica"/>
          <w:bCs/>
          <w:szCs w:val="24"/>
          <w:lang w:eastAsia="zh-CN"/>
        </w:rPr>
        <w:t>YR", -YR" ir H;</w:t>
      </w:r>
    </w:p>
    <w:p w14:paraId="3B31848C" w14:textId="6B5A94D5"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R" yra nepriklausomai parinktas iš grupės, susidedančios išC</w:t>
      </w:r>
      <w:r w:rsidRPr="009B1847">
        <w:rPr>
          <w:rFonts w:ascii="Helvetica" w:eastAsia="DengXian" w:hAnsi="Helvetica" w:cs="Helvetica"/>
          <w:bCs/>
          <w:szCs w:val="24"/>
          <w:vertAlign w:val="subscript"/>
          <w:lang w:eastAsia="zh-CN"/>
        </w:rPr>
        <w:t>3-14</w:t>
      </w:r>
      <w:r w:rsidRPr="009B1847">
        <w:rPr>
          <w:rFonts w:ascii="Helvetica" w:eastAsia="DengXian" w:hAnsi="Helvetica" w:cs="Helvetica"/>
          <w:bCs/>
          <w:szCs w:val="24"/>
          <w:lang w:eastAsia="zh-CN"/>
        </w:rPr>
        <w:t xml:space="preserve"> alkilo ir</w:t>
      </w:r>
      <w:r w:rsidR="00252942">
        <w:rPr>
          <w:rFonts w:ascii="Helvetica" w:eastAsia="DengXian" w:hAnsi="Helvetica" w:cs="Helvetica"/>
          <w:bCs/>
          <w:szCs w:val="24"/>
          <w:lang w:eastAsia="zh-CN"/>
        </w:rPr>
        <w:t xml:space="preserve"> </w:t>
      </w:r>
      <w:r w:rsidRPr="009B1847">
        <w:rPr>
          <w:rFonts w:ascii="Helvetica" w:eastAsia="DengXian" w:hAnsi="Helvetica" w:cs="Helvetica"/>
          <w:bCs/>
          <w:szCs w:val="24"/>
          <w:lang w:eastAsia="zh-CN"/>
        </w:rPr>
        <w:t>C</w:t>
      </w:r>
      <w:r w:rsidRPr="009B1847">
        <w:rPr>
          <w:rFonts w:ascii="Helvetica" w:eastAsia="DengXian" w:hAnsi="Helvetica" w:cs="Helvetica"/>
          <w:bCs/>
          <w:szCs w:val="24"/>
          <w:vertAlign w:val="subscript"/>
          <w:lang w:eastAsia="zh-CN"/>
        </w:rPr>
        <w:t>3-14</w:t>
      </w:r>
      <w:r w:rsidRPr="009B1847">
        <w:rPr>
          <w:rFonts w:ascii="Helvetica" w:eastAsia="DengXian" w:hAnsi="Helvetica" w:cs="Helvetica"/>
          <w:bCs/>
          <w:szCs w:val="24"/>
          <w:lang w:eastAsia="zh-CN"/>
        </w:rPr>
        <w:t xml:space="preserve"> alkenilo;</w:t>
      </w:r>
    </w:p>
    <w:p w14:paraId="75B6B178" w14:textId="0D0C92D0"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R</w:t>
      </w:r>
      <w:r w:rsidRPr="009B1847">
        <w:rPr>
          <w:rFonts w:ascii="Helvetica" w:eastAsia="DengXian" w:hAnsi="Helvetica" w:cs="Helvetica" w:hint="eastAsia"/>
          <w:bCs/>
          <w:szCs w:val="24"/>
          <w:vertAlign w:val="superscript"/>
          <w:lang w:eastAsia="zh-CN"/>
        </w:rPr>
        <w:t>*</w:t>
      </w:r>
      <w:r w:rsidRPr="009B1847">
        <w:rPr>
          <w:rFonts w:ascii="Helvetica" w:eastAsia="DengXian" w:hAnsi="Helvetica" w:cs="Helvetica"/>
          <w:bCs/>
          <w:szCs w:val="24"/>
          <w:lang w:eastAsia="zh-CN"/>
        </w:rPr>
        <w:t xml:space="preserve"> yra nepriklausomai parinktas iš grupės, susidedančios išC</w:t>
      </w:r>
      <w:r w:rsidRPr="009B1847">
        <w:rPr>
          <w:rFonts w:ascii="Helvetica" w:eastAsia="DengXian" w:hAnsi="Helvetica" w:cs="Helvetica"/>
          <w:bCs/>
          <w:szCs w:val="24"/>
          <w:vertAlign w:val="subscript"/>
          <w:lang w:eastAsia="zh-CN"/>
        </w:rPr>
        <w:t>1-12</w:t>
      </w:r>
      <w:r w:rsidRPr="009B1847">
        <w:rPr>
          <w:rFonts w:ascii="Helvetica" w:eastAsia="DengXian" w:hAnsi="Helvetica" w:cs="Helvetica"/>
          <w:bCs/>
          <w:szCs w:val="24"/>
          <w:lang w:eastAsia="zh-CN"/>
        </w:rPr>
        <w:t xml:space="preserve"> alkilo ir</w:t>
      </w:r>
      <w:r w:rsidR="00252942">
        <w:rPr>
          <w:rFonts w:ascii="Helvetica" w:eastAsia="DengXian" w:hAnsi="Helvetica" w:cs="Helvetica"/>
          <w:bCs/>
          <w:szCs w:val="24"/>
          <w:lang w:eastAsia="zh-CN"/>
        </w:rPr>
        <w:t xml:space="preserve"> </w:t>
      </w:r>
      <w:r w:rsidRPr="009B1847">
        <w:rPr>
          <w:rFonts w:ascii="Helvetica" w:eastAsia="DengXian" w:hAnsi="Helvetica" w:cs="Helvetica"/>
          <w:bCs/>
          <w:szCs w:val="24"/>
          <w:lang w:eastAsia="zh-CN"/>
        </w:rPr>
        <w:t>C</w:t>
      </w:r>
      <w:r w:rsidRPr="009B1847">
        <w:rPr>
          <w:rFonts w:ascii="Helvetica" w:eastAsia="DengXian" w:hAnsi="Helvetica" w:cs="Helvetica"/>
          <w:bCs/>
          <w:szCs w:val="24"/>
          <w:vertAlign w:val="subscript"/>
          <w:lang w:eastAsia="zh-CN"/>
        </w:rPr>
        <w:t>2-12</w:t>
      </w:r>
      <w:r w:rsidRPr="009B1847">
        <w:rPr>
          <w:rFonts w:ascii="Helvetica" w:eastAsia="DengXian" w:hAnsi="Helvetica" w:cs="Helvetica"/>
          <w:bCs/>
          <w:szCs w:val="24"/>
          <w:lang w:eastAsia="zh-CN"/>
        </w:rPr>
        <w:t xml:space="preserve"> alkenilo; ir</w:t>
      </w:r>
    </w:p>
    <w:p w14:paraId="7CC334C9"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Y yra nepriklausomaiC</w:t>
      </w:r>
      <w:r w:rsidRPr="009B1847">
        <w:rPr>
          <w:rFonts w:ascii="Helvetica" w:eastAsia="DengXian" w:hAnsi="Helvetica" w:cs="Helvetica"/>
          <w:bCs/>
          <w:szCs w:val="24"/>
          <w:vertAlign w:val="subscript"/>
          <w:lang w:eastAsia="zh-CN"/>
        </w:rPr>
        <w:t>3-6</w:t>
      </w:r>
      <w:r w:rsidRPr="009B1847">
        <w:rPr>
          <w:rFonts w:ascii="Helvetica" w:eastAsia="DengXian" w:hAnsi="Helvetica" w:cs="Helvetica"/>
          <w:bCs/>
          <w:szCs w:val="24"/>
          <w:lang w:eastAsia="zh-CN"/>
        </w:rPr>
        <w:t xml:space="preserve"> karbociklas.</w:t>
      </w:r>
    </w:p>
    <w:p w14:paraId="67CD0E4F" w14:textId="77777777" w:rsidR="009B1847" w:rsidRPr="009B1847" w:rsidRDefault="009B1847" w:rsidP="009B1847">
      <w:pPr>
        <w:spacing w:line="360" w:lineRule="auto"/>
        <w:jc w:val="both"/>
        <w:rPr>
          <w:rFonts w:ascii="Helvetica" w:hAnsi="Helvetica" w:cs="Helvetica"/>
          <w:bCs/>
          <w:szCs w:val="24"/>
          <w:lang w:eastAsia="zh-CN"/>
        </w:rPr>
      </w:pPr>
    </w:p>
    <w:p w14:paraId="40AAE050" w14:textId="0A22450A"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 xml:space="preserve">3. LNP pagal 2 punktą, b e s i s k i r i a n t i s tuo, kad (XI) formulės junginys turi 18 junginio struktūrą: </w:t>
      </w:r>
    </w:p>
    <w:p w14:paraId="04204156" w14:textId="508B276D" w:rsidR="000479A5" w:rsidRDefault="000479A5" w:rsidP="009B1847">
      <w:pPr>
        <w:spacing w:line="360" w:lineRule="auto"/>
        <w:jc w:val="center"/>
        <w:rPr>
          <w:rFonts w:ascii="Helvetica" w:eastAsia="DengXian" w:hAnsi="Helvetica" w:cs="Helvetica"/>
          <w:bCs/>
          <w:noProof/>
          <w:szCs w:val="24"/>
          <w:lang w:eastAsia="lt-LT"/>
        </w:rPr>
      </w:pPr>
      <w:r>
        <w:rPr>
          <w:rFonts w:ascii="Helvetica" w:eastAsia="DengXian" w:hAnsi="Helvetica" w:cs="Helvetica"/>
          <w:bCs/>
          <w:noProof/>
          <w:szCs w:val="24"/>
          <w:lang w:eastAsia="lt-LT"/>
        </w:rPr>
        <w:drawing>
          <wp:inline distT="0" distB="0" distL="0" distR="0" wp14:anchorId="5EFAF465" wp14:editId="1CC8705B">
            <wp:extent cx="3152140" cy="920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140" cy="920750"/>
                    </a:xfrm>
                    <a:prstGeom prst="rect">
                      <a:avLst/>
                    </a:prstGeom>
                    <a:noFill/>
                  </pic:spPr>
                </pic:pic>
              </a:graphicData>
            </a:graphic>
          </wp:inline>
        </w:drawing>
      </w:r>
    </w:p>
    <w:p w14:paraId="32129B9D"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arba jo farmaciniu požiūriu priimtina druska.</w:t>
      </w:r>
    </w:p>
    <w:p w14:paraId="0EE8B220" w14:textId="77777777" w:rsidR="009B1847" w:rsidRPr="009B1847" w:rsidRDefault="009B1847" w:rsidP="009B1847">
      <w:pPr>
        <w:spacing w:line="360" w:lineRule="auto"/>
        <w:jc w:val="both"/>
        <w:rPr>
          <w:rFonts w:ascii="Helvetica" w:hAnsi="Helvetica" w:cs="Helvetica"/>
          <w:bCs/>
          <w:szCs w:val="24"/>
          <w:lang w:eastAsia="zh-CN"/>
        </w:rPr>
      </w:pPr>
    </w:p>
    <w:p w14:paraId="1006322C" w14:textId="77777777"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 xml:space="preserve">4. LNP pagal bet kurį iš 1–3 punktų, kur (V-OH) formulės junginys yra: </w:t>
      </w:r>
    </w:p>
    <w:p w14:paraId="58BF6C78" w14:textId="77777777" w:rsidR="009B1847" w:rsidRPr="009B1847" w:rsidRDefault="009B1847" w:rsidP="009B1847">
      <w:pPr>
        <w:spacing w:line="360" w:lineRule="auto"/>
        <w:jc w:val="center"/>
        <w:rPr>
          <w:rFonts w:ascii="Helvetica" w:eastAsia="DengXian" w:hAnsi="Helvetica" w:cs="Helvetica"/>
          <w:bCs/>
          <w:szCs w:val="24"/>
          <w:lang w:eastAsia="zh-CN"/>
        </w:rPr>
      </w:pPr>
      <w:r w:rsidRPr="009B1847">
        <w:rPr>
          <w:rFonts w:ascii="Helvetica" w:eastAsia="DengXian" w:hAnsi="Helvetica" w:cs="Helvetica"/>
          <w:bCs/>
          <w:noProof/>
          <w:szCs w:val="24"/>
          <w:lang w:eastAsia="lt-LT"/>
        </w:rPr>
        <w:lastRenderedPageBreak/>
        <w:drawing>
          <wp:inline distT="0" distB="0" distL="0" distR="0" wp14:anchorId="3FCFA1DC" wp14:editId="62A63D89">
            <wp:extent cx="4187119" cy="908050"/>
            <wp:effectExtent l="0" t="0" r="0" b="0"/>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4191593" cy="909020"/>
                    </a:xfrm>
                    <a:prstGeom prst="rect">
                      <a:avLst/>
                    </a:prstGeom>
                    <a:noFill/>
                    <a:ln>
                      <a:noFill/>
                    </a:ln>
                  </pic:spPr>
                </pic:pic>
              </a:graphicData>
            </a:graphic>
          </wp:inline>
        </w:drawing>
      </w:r>
    </w:p>
    <w:p w14:paraId="42B1110F"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arba jo farmaciniu požiūriu priimtina druska.</w:t>
      </w:r>
    </w:p>
    <w:p w14:paraId="1DE841A5" w14:textId="77777777" w:rsidR="009B1847" w:rsidRPr="009B1847" w:rsidRDefault="009B1847" w:rsidP="009B1847">
      <w:pPr>
        <w:spacing w:line="360" w:lineRule="auto"/>
        <w:jc w:val="both"/>
        <w:rPr>
          <w:rFonts w:ascii="Helvetica" w:hAnsi="Helvetica" w:cs="Helvetica"/>
          <w:bCs/>
          <w:szCs w:val="24"/>
          <w:lang w:eastAsia="zh-CN"/>
        </w:rPr>
      </w:pPr>
    </w:p>
    <w:p w14:paraId="722B1E92" w14:textId="72F7DE4D" w:rsidR="009B1847" w:rsidRPr="009B1847" w:rsidRDefault="009B1847" w:rsidP="009B1847">
      <w:pPr>
        <w:spacing w:line="360" w:lineRule="auto"/>
        <w:ind w:firstLine="567"/>
        <w:jc w:val="both"/>
        <w:rPr>
          <w:rFonts w:ascii="Helvetica" w:hAnsi="Helvetica" w:cs="Helvetica"/>
          <w:bCs/>
          <w:szCs w:val="24"/>
          <w:lang w:eastAsia="zh-CN"/>
        </w:rPr>
      </w:pPr>
      <w:r w:rsidRPr="009B1847">
        <w:rPr>
          <w:rFonts w:ascii="Helvetica" w:eastAsia="DengXian" w:hAnsi="Helvetica" w:cs="Helvetica"/>
          <w:bCs/>
          <w:szCs w:val="24"/>
          <w:lang w:eastAsia="zh-CN"/>
        </w:rPr>
        <w:t xml:space="preserve">5. LNP pagal bet kurį iš 1–4 punktų, b e s i s k i r i a n t i s tuo, kad PEG lipidas apima PEG molekulę, kurios vidutinė molekulinė masė yra: </w:t>
      </w:r>
    </w:p>
    <w:p w14:paraId="7B40B9C0"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(i) 2 000 Da; arba</w:t>
      </w:r>
    </w:p>
    <w:p w14:paraId="7D22FE8C"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(ii) mažiau nei 2000 Da, pasirinktinai apie 1500 Da, apie 1000 Da arba apie 500 Da.</w:t>
      </w:r>
    </w:p>
    <w:p w14:paraId="428C2E2E" w14:textId="77777777" w:rsidR="009B1847" w:rsidRPr="009B1847" w:rsidRDefault="009B1847" w:rsidP="009B1847">
      <w:pPr>
        <w:spacing w:line="360" w:lineRule="auto"/>
        <w:jc w:val="both"/>
        <w:rPr>
          <w:rFonts w:ascii="Helvetica" w:hAnsi="Helvetica" w:cs="Helvetica"/>
          <w:bCs/>
          <w:szCs w:val="24"/>
          <w:lang w:eastAsia="zh-CN"/>
        </w:rPr>
      </w:pPr>
    </w:p>
    <w:p w14:paraId="16D47527" w14:textId="65886082"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6. LNP pagal bet kurį iš 1–2 punktų, b e s i s k i r i a n t i s tuo, kad (V-OH) formulės junginys yra HO-PEG</w:t>
      </w:r>
      <w:r w:rsidRPr="009B1847">
        <w:rPr>
          <w:rFonts w:ascii="Helvetica" w:eastAsia="DengXian" w:hAnsi="Helvetica" w:cs="Helvetica"/>
          <w:bCs/>
          <w:szCs w:val="24"/>
          <w:vertAlign w:val="subscript"/>
          <w:lang w:eastAsia="zh-CN"/>
        </w:rPr>
        <w:t>2000</w:t>
      </w:r>
      <w:r w:rsidRPr="009B1847">
        <w:rPr>
          <w:rFonts w:ascii="Helvetica" w:eastAsia="DengXian" w:hAnsi="Helvetica" w:cs="Helvetica"/>
          <w:bCs/>
          <w:szCs w:val="24"/>
          <w:lang w:eastAsia="zh-CN"/>
        </w:rPr>
        <w:t>-esteris-C18.</w:t>
      </w:r>
    </w:p>
    <w:p w14:paraId="6F9F15DB" w14:textId="77777777" w:rsidR="009B1847" w:rsidRPr="009B1847" w:rsidRDefault="009B1847" w:rsidP="009B1847">
      <w:pPr>
        <w:spacing w:line="360" w:lineRule="auto"/>
        <w:jc w:val="both"/>
        <w:rPr>
          <w:rFonts w:ascii="Helvetica" w:hAnsi="Helvetica" w:cs="Helvetica"/>
          <w:bCs/>
          <w:szCs w:val="24"/>
          <w:lang w:eastAsia="zh-CN"/>
        </w:rPr>
      </w:pPr>
    </w:p>
    <w:p w14:paraId="451677B5" w14:textId="77777777"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 xml:space="preserve">7. LNP pagal bet kurį iš 1–6 punktų, kur (V-OH) formulės junginys yra: </w:t>
      </w:r>
    </w:p>
    <w:p w14:paraId="0D852A3D" w14:textId="63FD3A36" w:rsidR="000479A5" w:rsidRDefault="000479A5" w:rsidP="009B1847">
      <w:pPr>
        <w:spacing w:line="360" w:lineRule="auto"/>
        <w:jc w:val="center"/>
        <w:rPr>
          <w:rFonts w:ascii="Helvetica" w:eastAsia="DengXian" w:hAnsi="Helvetica" w:cs="Helvetica"/>
          <w:bCs/>
          <w:noProof/>
          <w:szCs w:val="24"/>
          <w:lang w:eastAsia="lt-LT"/>
        </w:rPr>
      </w:pPr>
      <w:r>
        <w:rPr>
          <w:rFonts w:ascii="Helvetica" w:eastAsia="DengXian" w:hAnsi="Helvetica" w:cs="Helvetica"/>
          <w:bCs/>
          <w:noProof/>
          <w:szCs w:val="24"/>
          <w:lang w:eastAsia="lt-LT"/>
        </w:rPr>
        <w:drawing>
          <wp:inline distT="0" distB="0" distL="0" distR="0" wp14:anchorId="3083206F" wp14:editId="772866D0">
            <wp:extent cx="5090795" cy="1017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0795" cy="1017905"/>
                    </a:xfrm>
                    <a:prstGeom prst="rect">
                      <a:avLst/>
                    </a:prstGeom>
                    <a:noFill/>
                  </pic:spPr>
                </pic:pic>
              </a:graphicData>
            </a:graphic>
          </wp:inline>
        </w:drawing>
      </w:r>
    </w:p>
    <w:p w14:paraId="03D5CBA3"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arba jo farmaciniu požiūriu priimtina druska.</w:t>
      </w:r>
    </w:p>
    <w:p w14:paraId="3BF1E8AF" w14:textId="77777777" w:rsidR="009B1847" w:rsidRPr="009B1847" w:rsidRDefault="009B1847" w:rsidP="009B1847">
      <w:pPr>
        <w:spacing w:line="360" w:lineRule="auto"/>
        <w:jc w:val="both"/>
        <w:rPr>
          <w:rFonts w:ascii="Helvetica" w:hAnsi="Helvetica" w:cs="Helvetica"/>
          <w:bCs/>
          <w:szCs w:val="24"/>
          <w:lang w:eastAsia="zh-CN"/>
        </w:rPr>
      </w:pPr>
    </w:p>
    <w:p w14:paraId="4A784B74" w14:textId="77777777"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8. LNP, nurodytas 1–7 punktuose, kuriame pagalbinis lipidas yra nekatijoninis pagalbinis lipidas, o struktūrinis lipidas – cholesterolis, ir kuriame LNP molinis santykis yra maždaug 45–65 % katijoninio lipido, maždaug 0,15–15 % PEG lipido, maždaug 15–45 % cholesterolio ir maždaug 5–25 % nekatijoninio pagalbinio lipido.</w:t>
      </w:r>
    </w:p>
    <w:p w14:paraId="03F37EBB" w14:textId="77777777" w:rsidR="009B1847" w:rsidRPr="009B1847" w:rsidRDefault="009B1847" w:rsidP="009B1847">
      <w:pPr>
        <w:spacing w:line="360" w:lineRule="auto"/>
        <w:jc w:val="both"/>
        <w:rPr>
          <w:rFonts w:ascii="Helvetica" w:hAnsi="Helvetica" w:cs="Helvetica"/>
          <w:bCs/>
          <w:szCs w:val="24"/>
          <w:lang w:eastAsia="zh-CN"/>
        </w:rPr>
      </w:pPr>
    </w:p>
    <w:p w14:paraId="2F517A64" w14:textId="33907A5F"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9. LNP pagal 8 punktą, b e s i s k i r i a n t i s tuo, kad LNP sudaro mažiau nei 0,5 % (w/w) PEG lipidų.</w:t>
      </w:r>
    </w:p>
    <w:p w14:paraId="63D1197B" w14:textId="77777777" w:rsidR="009B1847" w:rsidRPr="009B1847" w:rsidRDefault="009B1847" w:rsidP="009B1847">
      <w:pPr>
        <w:spacing w:line="360" w:lineRule="auto"/>
        <w:jc w:val="both"/>
        <w:rPr>
          <w:rFonts w:ascii="Helvetica" w:hAnsi="Helvetica" w:cs="Helvetica"/>
          <w:bCs/>
          <w:szCs w:val="24"/>
          <w:lang w:eastAsia="zh-CN"/>
        </w:rPr>
      </w:pPr>
    </w:p>
    <w:p w14:paraId="67CB64A4" w14:textId="77777777"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10. LNP pagal 8 punktą, kai LNP sudėtyje yra mažiau kaip 0,25 % (w/w) PEG lipidų.</w:t>
      </w:r>
    </w:p>
    <w:p w14:paraId="00E0C312" w14:textId="77777777" w:rsidR="009B1847" w:rsidRPr="009B1847" w:rsidRDefault="009B1847" w:rsidP="009B1847">
      <w:pPr>
        <w:spacing w:line="360" w:lineRule="auto"/>
        <w:jc w:val="both"/>
        <w:rPr>
          <w:rFonts w:ascii="Helvetica" w:hAnsi="Helvetica" w:cs="Helvetica"/>
          <w:bCs/>
          <w:szCs w:val="24"/>
          <w:lang w:eastAsia="zh-CN"/>
        </w:rPr>
      </w:pPr>
    </w:p>
    <w:p w14:paraId="49A834B3" w14:textId="77777777" w:rsidR="009B1847" w:rsidRPr="009B1847" w:rsidRDefault="009B1847" w:rsidP="009B1847">
      <w:pPr>
        <w:spacing w:line="360" w:lineRule="auto"/>
        <w:ind w:firstLine="567"/>
        <w:jc w:val="both"/>
        <w:rPr>
          <w:rFonts w:ascii="Helvetica" w:hAnsi="Helvetica" w:cs="Helvetica"/>
          <w:bCs/>
          <w:szCs w:val="24"/>
          <w:lang w:eastAsia="zh-CN"/>
        </w:rPr>
      </w:pPr>
      <w:r w:rsidRPr="009B1847">
        <w:rPr>
          <w:rFonts w:ascii="Helvetica" w:eastAsia="DengXian" w:hAnsi="Helvetica" w:cs="Helvetica"/>
          <w:bCs/>
          <w:szCs w:val="24"/>
          <w:lang w:eastAsia="zh-CN"/>
        </w:rPr>
        <w:t xml:space="preserve">11. LNP pagal bet kurį iš 1–7 punktų, kur lipidas pagalbininkas yra: </w:t>
      </w:r>
    </w:p>
    <w:p w14:paraId="54FA827B"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(i) nekatijoninis pagalbinis lipidas, sudarytas iš bent vienos riebalų rūgščių grandinės, turinčios ne mažiau kaip 8C, ir bent vienos polinės pagrindinės grupės dalies;</w:t>
      </w:r>
    </w:p>
    <w:p w14:paraId="296C8A9E"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(ii) cviterjono nekatijoninis pagalbinis lipidas;</w:t>
      </w:r>
    </w:p>
    <w:p w14:paraId="440E9262"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(iii) lipidas, kuris nėra fosfatidilcholinas (PC); arba</w:t>
      </w:r>
    </w:p>
    <w:p w14:paraId="7E12A246"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(iv) 1,2-distearoil-</w:t>
      </w:r>
      <w:r w:rsidRPr="009B1847">
        <w:rPr>
          <w:rFonts w:ascii="Helvetica" w:eastAsia="DengXian" w:hAnsi="Helvetica" w:cs="Helvetica"/>
          <w:bCs/>
          <w:i/>
          <w:iCs/>
          <w:szCs w:val="24"/>
          <w:lang w:eastAsia="zh-CN"/>
        </w:rPr>
        <w:t>sn</w:t>
      </w:r>
      <w:r w:rsidRPr="009B1847">
        <w:rPr>
          <w:rFonts w:ascii="Helvetica" w:eastAsia="DengXian" w:hAnsi="Helvetica" w:cs="Helvetica"/>
          <w:bCs/>
          <w:szCs w:val="24"/>
          <w:lang w:eastAsia="zh-CN"/>
        </w:rPr>
        <w:t>-glicero-3-fosfocholinas (DSPC).</w:t>
      </w:r>
    </w:p>
    <w:p w14:paraId="2BE84E1E" w14:textId="77777777" w:rsidR="009B1847" w:rsidRPr="009B1847" w:rsidRDefault="009B1847" w:rsidP="009B1847">
      <w:pPr>
        <w:spacing w:line="360" w:lineRule="auto"/>
        <w:jc w:val="both"/>
        <w:rPr>
          <w:rFonts w:ascii="Helvetica" w:hAnsi="Helvetica" w:cs="Helvetica"/>
          <w:bCs/>
          <w:szCs w:val="24"/>
          <w:lang w:eastAsia="zh-CN"/>
        </w:rPr>
      </w:pPr>
    </w:p>
    <w:p w14:paraId="0A09A3F4" w14:textId="77777777" w:rsidR="009B1847" w:rsidRPr="009B1847" w:rsidRDefault="009B1847" w:rsidP="009B1847">
      <w:pPr>
        <w:spacing w:line="360" w:lineRule="auto"/>
        <w:ind w:firstLine="567"/>
        <w:jc w:val="both"/>
        <w:rPr>
          <w:rFonts w:ascii="Helvetica" w:hAnsi="Helvetica" w:cs="Helvetica"/>
          <w:bCs/>
          <w:szCs w:val="24"/>
          <w:lang w:eastAsia="zh-CN"/>
        </w:rPr>
      </w:pPr>
      <w:r w:rsidRPr="009B1847">
        <w:rPr>
          <w:rFonts w:ascii="Helvetica" w:eastAsia="DengXian" w:hAnsi="Helvetica" w:cs="Helvetica"/>
          <w:bCs/>
          <w:szCs w:val="24"/>
          <w:lang w:eastAsia="zh-CN"/>
        </w:rPr>
        <w:t xml:space="preserve">12. Bet kurio iš 1-7 arba 11 teiginių LNP, kuriame pagalbinis lipidas: </w:t>
      </w:r>
    </w:p>
    <w:p w14:paraId="2EE36CF5"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(i) konkurenciškai slopina fosfatidilcholino prisijungimą prie CD36; arba</w:t>
      </w:r>
    </w:p>
    <w:p w14:paraId="65D7B803"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(ii) nesijungia su CD36 arba turi mažą prisijungimo aktyvumą.</w:t>
      </w:r>
    </w:p>
    <w:p w14:paraId="1FBB3018" w14:textId="77777777" w:rsidR="009B1847" w:rsidRPr="009B1847" w:rsidRDefault="009B1847" w:rsidP="009B1847">
      <w:pPr>
        <w:spacing w:line="360" w:lineRule="auto"/>
        <w:jc w:val="both"/>
        <w:rPr>
          <w:rFonts w:ascii="Helvetica" w:hAnsi="Helvetica" w:cs="Helvetica"/>
          <w:bCs/>
          <w:szCs w:val="24"/>
          <w:lang w:eastAsia="zh-CN"/>
        </w:rPr>
      </w:pPr>
    </w:p>
    <w:p w14:paraId="6B30DCDC" w14:textId="77777777"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13. LNP pagal bet kurį iš 1–7 punktų, kur struktūrinis lipidas yra sterolis, pavyzdžiui, cholesterolis.</w:t>
      </w:r>
    </w:p>
    <w:p w14:paraId="4C95E373" w14:textId="77777777" w:rsidR="009B1847" w:rsidRPr="009B1847" w:rsidRDefault="009B1847" w:rsidP="009B1847">
      <w:pPr>
        <w:spacing w:line="360" w:lineRule="auto"/>
        <w:jc w:val="both"/>
        <w:rPr>
          <w:rFonts w:ascii="Helvetica" w:hAnsi="Helvetica" w:cs="Helvetica"/>
          <w:bCs/>
          <w:szCs w:val="24"/>
          <w:lang w:eastAsia="zh-CN"/>
        </w:rPr>
      </w:pPr>
    </w:p>
    <w:p w14:paraId="2D43929D" w14:textId="77777777" w:rsidR="009B1847" w:rsidRPr="009B1847" w:rsidRDefault="009B1847" w:rsidP="009B1847">
      <w:pPr>
        <w:spacing w:line="360" w:lineRule="auto"/>
        <w:ind w:firstLine="567"/>
        <w:jc w:val="both"/>
        <w:rPr>
          <w:rFonts w:ascii="Helvetica" w:hAnsi="Helvetica" w:cs="Helvetica"/>
          <w:bCs/>
          <w:szCs w:val="24"/>
          <w:lang w:eastAsia="zh-CN"/>
        </w:rPr>
      </w:pPr>
      <w:r w:rsidRPr="009B1847">
        <w:rPr>
          <w:rFonts w:ascii="Helvetica" w:eastAsia="DengXian" w:hAnsi="Helvetica" w:cs="Helvetica"/>
          <w:bCs/>
          <w:szCs w:val="24"/>
          <w:lang w:eastAsia="zh-CN"/>
        </w:rPr>
        <w:t>14. LNP pagal bet kurį iš ankstesnių punktų, kur mRNR apima (a) chemiškai modifikuotas bazes arba cukrų ir pagrindo modifikacijas; ir (arba) (b) miR surišimo vieta, pasirinktinai kur miR surišimo vieta:</w:t>
      </w:r>
    </w:p>
    <w:p w14:paraId="145C50BA"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(i) yra pasirinktas iš miR 126, miR 155 ir miR 142 3p; arba</w:t>
      </w:r>
    </w:p>
    <w:p w14:paraId="3491B22F"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(ii) apima miR-122 surišimo vietą ir taip pat vieną ar daugiau miR surišimo vietų, parinktų iš grupės, susidedančios iš miR-142, miR-146, miR-155, miR-126, miR-16, miR-21, miR -223, miR-24, miR-27.</w:t>
      </w:r>
    </w:p>
    <w:p w14:paraId="546D7AE8" w14:textId="77777777" w:rsidR="009B1847" w:rsidRPr="009B1847" w:rsidRDefault="009B1847" w:rsidP="009B1847">
      <w:pPr>
        <w:spacing w:line="360" w:lineRule="auto"/>
        <w:jc w:val="both"/>
        <w:rPr>
          <w:rFonts w:ascii="Helvetica" w:hAnsi="Helvetica" w:cs="Helvetica"/>
          <w:bCs/>
          <w:szCs w:val="24"/>
          <w:lang w:eastAsia="zh-CN"/>
        </w:rPr>
      </w:pPr>
    </w:p>
    <w:p w14:paraId="0710FB37" w14:textId="77777777"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15. Bet kurio iš ankstesnių teiginių LNP, kuriam būdingas mažesnis surišimas su B1a ląstelėmis ir (arba) mažesnis B1a ląstelių aktyvavimo aktyvumas.</w:t>
      </w:r>
    </w:p>
    <w:p w14:paraId="318213CB" w14:textId="77777777" w:rsidR="009B1847" w:rsidRPr="009B1847" w:rsidRDefault="009B1847" w:rsidP="009B1847">
      <w:pPr>
        <w:spacing w:line="360" w:lineRule="auto"/>
        <w:jc w:val="both"/>
        <w:rPr>
          <w:rFonts w:ascii="Helvetica" w:hAnsi="Helvetica" w:cs="Helvetica"/>
          <w:bCs/>
          <w:szCs w:val="24"/>
          <w:lang w:eastAsia="zh-CN"/>
        </w:rPr>
      </w:pPr>
    </w:p>
    <w:p w14:paraId="663E3008" w14:textId="77777777" w:rsidR="009B1847" w:rsidRPr="009B1847" w:rsidRDefault="009B1847" w:rsidP="009B1847">
      <w:pPr>
        <w:spacing w:line="360" w:lineRule="auto"/>
        <w:ind w:firstLine="567"/>
        <w:jc w:val="both"/>
        <w:rPr>
          <w:rFonts w:ascii="Helvetica" w:hAnsi="Helvetica" w:cs="Helvetica"/>
          <w:bCs/>
          <w:szCs w:val="24"/>
          <w:lang w:eastAsia="zh-CN"/>
        </w:rPr>
      </w:pPr>
      <w:r w:rsidRPr="009B1847">
        <w:rPr>
          <w:rFonts w:ascii="Helvetica" w:eastAsia="DengXian" w:hAnsi="Helvetica" w:cs="Helvetica"/>
          <w:bCs/>
          <w:szCs w:val="24"/>
          <w:lang w:eastAsia="zh-CN"/>
        </w:rPr>
        <w:t xml:space="preserve">16. Lipidinė nanodalelė (LNP), skirta naudoti terapinio lygio dominančio baltymo tiekimo subjektui metodu, </w:t>
      </w:r>
    </w:p>
    <w:p w14:paraId="7AC58236"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kur LNP yra bet kurio iš ankstesnių teiginių LNP,</w:t>
      </w:r>
    </w:p>
    <w:p w14:paraId="0621539F" w14:textId="77777777" w:rsidR="009B1847" w:rsidRPr="009B1847" w:rsidRDefault="009B1847" w:rsidP="009B1847">
      <w:pPr>
        <w:spacing w:line="360" w:lineRule="auto"/>
        <w:jc w:val="both"/>
        <w:rPr>
          <w:rFonts w:ascii="Helvetica" w:eastAsia="DengXian" w:hAnsi="Helvetica" w:cs="Helvetica"/>
          <w:bCs/>
          <w:szCs w:val="24"/>
          <w:lang w:eastAsia="zh-CN"/>
        </w:rPr>
      </w:pPr>
      <w:r w:rsidRPr="009B1847">
        <w:rPr>
          <w:rFonts w:ascii="Helvetica" w:eastAsia="DengXian" w:hAnsi="Helvetica" w:cs="Helvetica"/>
          <w:bCs/>
          <w:szCs w:val="24"/>
          <w:lang w:eastAsia="zh-CN"/>
        </w:rPr>
        <w:t>kur metodas apima LNP pirmosios ir antrosios dozės skyrimą tiriamajam asmeniui; ir kai pirmoji LNP dozė nesukelia imuninio atsako, skatinančio pagreitintą kraujo klirensą (ABC) skyrus antrąją LNP dozę.</w:t>
      </w:r>
    </w:p>
    <w:p w14:paraId="4791B3EF" w14:textId="77777777" w:rsidR="009B1847" w:rsidRPr="009B1847" w:rsidRDefault="009B1847" w:rsidP="009B1847">
      <w:pPr>
        <w:spacing w:line="360" w:lineRule="auto"/>
        <w:jc w:val="both"/>
        <w:rPr>
          <w:rFonts w:ascii="Helvetica" w:hAnsi="Helvetica" w:cs="Helvetica"/>
          <w:bCs/>
          <w:szCs w:val="24"/>
          <w:lang w:eastAsia="zh-CN"/>
        </w:rPr>
      </w:pPr>
    </w:p>
    <w:p w14:paraId="3BB0A201" w14:textId="77777777"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17. LNP skirtas naudoti pagal 16 punktą, kur imuninis atsakas yra anti-PEG IgM arba anti-PEG IgG atsakas.</w:t>
      </w:r>
    </w:p>
    <w:p w14:paraId="0243D376" w14:textId="77777777" w:rsidR="009B1847" w:rsidRPr="009B1847" w:rsidRDefault="009B1847" w:rsidP="009B1847">
      <w:pPr>
        <w:spacing w:line="360" w:lineRule="auto"/>
        <w:jc w:val="both"/>
        <w:rPr>
          <w:rFonts w:ascii="Helvetica" w:hAnsi="Helvetica" w:cs="Helvetica"/>
          <w:bCs/>
          <w:szCs w:val="24"/>
          <w:lang w:eastAsia="zh-CN"/>
        </w:rPr>
      </w:pPr>
    </w:p>
    <w:p w14:paraId="7F141A33" w14:textId="77777777"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18. LNP, skirtas naudoti pagal bet kurį iš 16–17 punktų, kur pirmoji LNP dozė neaktyvuoja nuo CD36 priklausomo signalizacijos kelio imuninėje ląstelėje, paskyrus antrąją LNP dozę.</w:t>
      </w:r>
    </w:p>
    <w:p w14:paraId="413E098B" w14:textId="77777777" w:rsidR="009B1847" w:rsidRPr="009B1847" w:rsidRDefault="009B1847" w:rsidP="009B1847">
      <w:pPr>
        <w:spacing w:line="360" w:lineRule="auto"/>
        <w:jc w:val="both"/>
        <w:rPr>
          <w:rFonts w:ascii="Helvetica" w:hAnsi="Helvetica" w:cs="Helvetica"/>
          <w:bCs/>
          <w:szCs w:val="24"/>
          <w:lang w:eastAsia="zh-CN"/>
        </w:rPr>
      </w:pPr>
    </w:p>
    <w:p w14:paraId="04010360" w14:textId="77777777" w:rsidR="009B1847" w:rsidRPr="009B1847" w:rsidRDefault="009B1847" w:rsidP="009B1847">
      <w:pPr>
        <w:spacing w:line="360" w:lineRule="auto"/>
        <w:ind w:firstLine="567"/>
        <w:jc w:val="both"/>
        <w:rPr>
          <w:rFonts w:ascii="Helvetica" w:eastAsia="DengXian" w:hAnsi="Helvetica" w:cs="Helvetica"/>
          <w:bCs/>
          <w:szCs w:val="24"/>
          <w:lang w:eastAsia="zh-CN"/>
        </w:rPr>
      </w:pPr>
      <w:r w:rsidRPr="009B1847">
        <w:rPr>
          <w:rFonts w:ascii="Helvetica" w:eastAsia="DengXian" w:hAnsi="Helvetica" w:cs="Helvetica"/>
          <w:bCs/>
          <w:szCs w:val="24"/>
          <w:lang w:eastAsia="zh-CN"/>
        </w:rPr>
        <w:t>19. LNP, skirtas naudoti pagal bet kurį iš 16–18 punktų, kur intervalas tarp pirmosios dozės ir antrosios dozės yra maždaug 21 diena arba mažiau, ir (arba) kur būdas papildomai apima papildomo agento, kuris slopina imuninį atsaką, skyrimą subjektui.</w:t>
      </w:r>
    </w:p>
    <w:sectPr w:rsidR="009B1847" w:rsidRPr="009B1847" w:rsidSect="009B184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7CE2" w14:textId="77777777" w:rsidR="00391288" w:rsidRDefault="00391288" w:rsidP="009B1847">
      <w:r>
        <w:separator/>
      </w:r>
    </w:p>
  </w:endnote>
  <w:endnote w:type="continuationSeparator" w:id="0">
    <w:p w14:paraId="74FE1B0F" w14:textId="77777777" w:rsidR="00391288" w:rsidRDefault="00391288" w:rsidP="009B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328CF" w14:textId="77777777" w:rsidR="00391288" w:rsidRDefault="00391288" w:rsidP="009B1847">
      <w:r>
        <w:separator/>
      </w:r>
    </w:p>
  </w:footnote>
  <w:footnote w:type="continuationSeparator" w:id="0">
    <w:p w14:paraId="4591708D" w14:textId="77777777" w:rsidR="00391288" w:rsidRDefault="00391288" w:rsidP="009B1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B1847"/>
    <w:rsid w:val="0000726D"/>
    <w:rsid w:val="0002640D"/>
    <w:rsid w:val="000479A5"/>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52942"/>
    <w:rsid w:val="00276E95"/>
    <w:rsid w:val="0028658E"/>
    <w:rsid w:val="00293CAA"/>
    <w:rsid w:val="002C447F"/>
    <w:rsid w:val="002D2F3D"/>
    <w:rsid w:val="002F3283"/>
    <w:rsid w:val="003157EF"/>
    <w:rsid w:val="00316AAE"/>
    <w:rsid w:val="003215A7"/>
    <w:rsid w:val="003221D8"/>
    <w:rsid w:val="003315F6"/>
    <w:rsid w:val="0033564B"/>
    <w:rsid w:val="0036065D"/>
    <w:rsid w:val="00391288"/>
    <w:rsid w:val="00393712"/>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17017"/>
    <w:rsid w:val="00867B62"/>
    <w:rsid w:val="00890960"/>
    <w:rsid w:val="008B5814"/>
    <w:rsid w:val="008B787F"/>
    <w:rsid w:val="008E1C0A"/>
    <w:rsid w:val="008E49E4"/>
    <w:rsid w:val="00904B41"/>
    <w:rsid w:val="00904CAE"/>
    <w:rsid w:val="00947F90"/>
    <w:rsid w:val="00973CCA"/>
    <w:rsid w:val="009834FF"/>
    <w:rsid w:val="00983D57"/>
    <w:rsid w:val="009B184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2F87E"/>
  <w15:chartTrackingRefBased/>
  <w15:docId w15:val="{72A900A6-053E-4AFD-A730-79DCE91C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847"/>
    <w:pPr>
      <w:tabs>
        <w:tab w:val="center" w:pos="4819"/>
        <w:tab w:val="right" w:pos="9638"/>
      </w:tabs>
    </w:pPr>
  </w:style>
  <w:style w:type="character" w:customStyle="1" w:styleId="HeaderChar">
    <w:name w:val="Header Char"/>
    <w:basedOn w:val="DefaultParagraphFont"/>
    <w:link w:val="Header"/>
    <w:uiPriority w:val="99"/>
    <w:rsid w:val="009B1847"/>
    <w:rPr>
      <w:lang w:eastAsia="en-US"/>
    </w:rPr>
  </w:style>
  <w:style w:type="paragraph" w:styleId="Footer">
    <w:name w:val="footer"/>
    <w:basedOn w:val="Normal"/>
    <w:link w:val="FooterChar"/>
    <w:uiPriority w:val="99"/>
    <w:unhideWhenUsed/>
    <w:rsid w:val="009B1847"/>
    <w:pPr>
      <w:tabs>
        <w:tab w:val="center" w:pos="4819"/>
        <w:tab w:val="right" w:pos="9638"/>
      </w:tabs>
    </w:pPr>
  </w:style>
  <w:style w:type="character" w:customStyle="1" w:styleId="FooterChar">
    <w:name w:val="Footer Char"/>
    <w:basedOn w:val="DefaultParagraphFont"/>
    <w:link w:val="Footer"/>
    <w:uiPriority w:val="99"/>
    <w:rsid w:val="009B184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data.epo.org/publication-server/image?imageName=imgb0772&amp;docId=678704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https://data.epo.org/publication-server/image?imageName=imgb0775&amp;docId=6787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3271</Words>
  <Characters>1866</Characters>
  <Application>Microsoft Office Word</Application>
  <DocSecurity>0</DocSecurity>
  <Lines>15</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5</cp:revision>
  <dcterms:created xsi:type="dcterms:W3CDTF">2022-05-30T10:41:00Z</dcterms:created>
  <dcterms:modified xsi:type="dcterms:W3CDTF">2022-05-30T12:30:00Z</dcterms:modified>
</cp:coreProperties>
</file>