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454B" w14:textId="3FF63402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1. </w:t>
      </w:r>
      <w:r w:rsidRPr="003D0B74">
        <w:rPr>
          <w:rFonts w:ascii="Helvetica" w:hAnsi="Helvetica" w:cs="Helvetica"/>
          <w:sz w:val="20"/>
        </w:rPr>
        <w:t xml:space="preserve">Lipidų </w:t>
      </w:r>
      <w:proofErr w:type="spellStart"/>
      <w:r w:rsidRPr="003D0B74">
        <w:rPr>
          <w:rFonts w:ascii="Helvetica" w:hAnsi="Helvetica" w:cs="Helvetica"/>
          <w:sz w:val="20"/>
        </w:rPr>
        <w:t>nanodalelių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 iš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, koduojanti OX40L </w:t>
      </w:r>
      <w:proofErr w:type="spellStart"/>
      <w:r w:rsidRPr="003D0B74">
        <w:rPr>
          <w:rFonts w:ascii="Helvetica" w:hAnsi="Helvetica" w:cs="Helvetica"/>
          <w:sz w:val="20"/>
        </w:rPr>
        <w:t>polipeptidą</w:t>
      </w:r>
      <w:proofErr w:type="spellEnd"/>
      <w:r w:rsidRPr="003D0B74">
        <w:rPr>
          <w:rFonts w:ascii="Helvetica" w:hAnsi="Helvetica" w:cs="Helvetica"/>
          <w:sz w:val="20"/>
        </w:rPr>
        <w:t>, skirta naudoti taikant naviko dydžio mažinimo arba sumažinimo, naviko augimo slopinimo arba vėžio gydymo būdus,</w:t>
      </w:r>
    </w:p>
    <w:p w14:paraId="4D7718B9" w14:textId="77777777" w:rsidR="003D0B74" w:rsidRPr="003D0B74" w:rsidRDefault="003D0B74" w:rsidP="003D0B74">
      <w:pPr>
        <w:spacing w:line="360" w:lineRule="auto"/>
        <w:jc w:val="both"/>
        <w:rPr>
          <w:rFonts w:ascii="Helvetica" w:hAnsi="Helvetica" w:cs="Helvetica"/>
          <w:sz w:val="20"/>
        </w:rPr>
      </w:pPr>
      <w:r w:rsidRPr="003D0B74">
        <w:rPr>
          <w:rFonts w:ascii="Helvetica" w:hAnsi="Helvetica" w:cs="Helvetica"/>
          <w:sz w:val="20"/>
        </w:rPr>
        <w:t xml:space="preserve">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apima vieną ar daugiau </w:t>
      </w:r>
      <w:proofErr w:type="spellStart"/>
      <w:r w:rsidRPr="003D0B74">
        <w:rPr>
          <w:rFonts w:ascii="Helvetica" w:hAnsi="Helvetica" w:cs="Helvetica"/>
          <w:sz w:val="20"/>
        </w:rPr>
        <w:t>mikroRNR</w:t>
      </w:r>
      <w:proofErr w:type="spellEnd"/>
      <w:r w:rsidRPr="003D0B74">
        <w:rPr>
          <w:rFonts w:ascii="Helvetica" w:hAnsi="Helvetica" w:cs="Helvetica"/>
          <w:sz w:val="20"/>
        </w:rPr>
        <w:t xml:space="preserve"> (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) surišimo vietą (-ų) 3'UTR, kur </w:t>
      </w:r>
      <w:proofErr w:type="spellStart"/>
      <w:r w:rsidRPr="003D0B74">
        <w:rPr>
          <w:rFonts w:ascii="Helvetica" w:hAnsi="Helvetica" w:cs="Helvetica"/>
          <w:sz w:val="20"/>
        </w:rPr>
        <w:t>mikroRNR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yra miR-122 surišimo vieta.</w:t>
      </w:r>
    </w:p>
    <w:p w14:paraId="6CFC602C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29027890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2.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1 punktą, kur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jungiasi su miR-122-3p arba miR-122-5p.</w:t>
      </w:r>
    </w:p>
    <w:p w14:paraId="5ED7FA76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1EB06C04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3.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 ar 2 punktų, kur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apima nukleotidų seką, mažiausiai 80 %, mažiausiai 85 %, mažiausiai 90 %, mažiausiai 95 % arba 100 % identišką SEQ ID Nr. 24, o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jungiasi prie miR-122.</w:t>
      </w:r>
    </w:p>
    <w:p w14:paraId="712CA58C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58D7F2BB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4.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 arba 3 punktų, kur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apima nukleotidų seką, mažiausiai 80 %, mažiausiai 85 %, mažiausiai 90 %, mažiausiai 95 % arba 100 % identišką SEQ ID Nr. 26, o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vieta jungiasi prie miR-122.</w:t>
      </w:r>
    </w:p>
    <w:p w14:paraId="6F87C7F9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470F85B5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5.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1–4 punktų, kur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vietos įterpimas į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netrukdo funkcinio OX40L </w:t>
      </w:r>
      <w:proofErr w:type="spellStart"/>
      <w:r w:rsidRPr="003D0B74">
        <w:rPr>
          <w:rFonts w:ascii="Helvetica" w:hAnsi="Helvetica" w:cs="Helvetica"/>
          <w:sz w:val="20"/>
        </w:rPr>
        <w:t>polipeptido</w:t>
      </w:r>
      <w:proofErr w:type="spellEnd"/>
      <w:r w:rsidRPr="003D0B74">
        <w:rPr>
          <w:rFonts w:ascii="Helvetica" w:hAnsi="Helvetica" w:cs="Helvetica"/>
          <w:sz w:val="20"/>
        </w:rPr>
        <w:t xml:space="preserve"> transliacijai, kai nėra atitinkamos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(pvz., miR122); o esant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(pvz., miR122),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vietos įterpimas į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ir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surišimo vietos prisijungimas prie atitinkamos </w:t>
      </w:r>
      <w:proofErr w:type="spellStart"/>
      <w:r w:rsidRPr="003D0B74">
        <w:rPr>
          <w:rFonts w:ascii="Helvetica" w:hAnsi="Helvetica" w:cs="Helvetica"/>
          <w:sz w:val="20"/>
        </w:rPr>
        <w:t>miRNR</w:t>
      </w:r>
      <w:proofErr w:type="spellEnd"/>
      <w:r w:rsidRPr="003D0B74">
        <w:rPr>
          <w:rFonts w:ascii="Helvetica" w:hAnsi="Helvetica" w:cs="Helvetica"/>
          <w:sz w:val="20"/>
        </w:rPr>
        <w:t xml:space="preserve"> gali suardyti </w:t>
      </w:r>
      <w:proofErr w:type="spellStart"/>
      <w:r w:rsidRPr="003D0B74">
        <w:rPr>
          <w:rFonts w:ascii="Helvetica" w:hAnsi="Helvetica" w:cs="Helvetica"/>
          <w:sz w:val="20"/>
        </w:rPr>
        <w:t>polinukleotidą</w:t>
      </w:r>
      <w:proofErr w:type="spellEnd"/>
      <w:r w:rsidRPr="003D0B74">
        <w:rPr>
          <w:rFonts w:ascii="Helvetica" w:hAnsi="Helvetica" w:cs="Helvetica"/>
          <w:sz w:val="20"/>
        </w:rPr>
        <w:t xml:space="preserve"> arba užkirsti kelią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transliacijai.</w:t>
      </w:r>
    </w:p>
    <w:p w14:paraId="39893A1C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60871757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6.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>, skirta naudoti pagal bet kurį iš 1–5 punktų, kur 3' UTR yra sintetinis 3' UTR arba natūralus 3' UTR.</w:t>
      </w:r>
    </w:p>
    <w:p w14:paraId="39975646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7DD583F5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7.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1–6 punktų, kur OX40L </w:t>
      </w:r>
      <w:proofErr w:type="spellStart"/>
      <w:r w:rsidRPr="003D0B74">
        <w:rPr>
          <w:rFonts w:ascii="Helvetica" w:hAnsi="Helvetica" w:cs="Helvetica"/>
          <w:sz w:val="20"/>
        </w:rPr>
        <w:t>polipeptidas</w:t>
      </w:r>
      <w:proofErr w:type="spellEnd"/>
      <w:r w:rsidRPr="003D0B74">
        <w:rPr>
          <w:rFonts w:ascii="Helvetica" w:hAnsi="Helvetica" w:cs="Helvetica"/>
          <w:sz w:val="20"/>
        </w:rPr>
        <w:t xml:space="preserve"> apima aminorūgščių seką, mažiausiai 50 %, mažiausiai 60 %, mažiausiai 70 %, mažiausiai 80 %, mažiausiai 85 %, mažiausiai 90%, mažiausiai 95 %, mažiausiai 99 % arba 100 % identišką aminorūgščių sekai, parinktai iš SEQ ID Nr. 1–3, kur aminorūgščių seka gali prisijungti prie OX40 receptoriaus,</w:t>
      </w:r>
    </w:p>
    <w:p w14:paraId="0334479E" w14:textId="77777777" w:rsidR="003D0B74" w:rsidRPr="003D0B74" w:rsidRDefault="003D0B74" w:rsidP="003D0B74">
      <w:pPr>
        <w:spacing w:line="360" w:lineRule="auto"/>
        <w:jc w:val="both"/>
        <w:rPr>
          <w:rFonts w:ascii="Helvetica" w:hAnsi="Helvetica" w:cs="Helvetica"/>
          <w:sz w:val="20"/>
        </w:rPr>
      </w:pPr>
      <w:r w:rsidRPr="003D0B74">
        <w:rPr>
          <w:rFonts w:ascii="Helvetica" w:hAnsi="Helvetica" w:cs="Helvetica"/>
          <w:sz w:val="20"/>
        </w:rPr>
        <w:t xml:space="preserve">kur aminorūgščių seka pasirinktinai turi vieną ar daugiau konservatyvių pakaitų, kur konservatyvūs pakaitai neturi įtakos OX40L </w:t>
      </w:r>
      <w:proofErr w:type="spellStart"/>
      <w:r w:rsidRPr="003D0B74">
        <w:rPr>
          <w:rFonts w:ascii="Helvetica" w:hAnsi="Helvetica" w:cs="Helvetica"/>
          <w:sz w:val="20"/>
        </w:rPr>
        <w:t>polipeptido</w:t>
      </w:r>
      <w:proofErr w:type="spellEnd"/>
      <w:r w:rsidRPr="003D0B74">
        <w:rPr>
          <w:rFonts w:ascii="Helvetica" w:hAnsi="Helvetica" w:cs="Helvetica"/>
          <w:sz w:val="20"/>
        </w:rPr>
        <w:t xml:space="preserve"> prisijungimui prie OX40 receptoriaus.</w:t>
      </w:r>
    </w:p>
    <w:p w14:paraId="07AC2463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71FC8EFB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8.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1–7 punktų,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apima seką mažiausiai 50 %, mažiausiai 60 %, mažiausiai 70 %, mažiausiai 80 %, mažiausiai 85 %, mažiausiai 90 %, mažiausiai 95 %, mažiausiai 99 % arba 100 % identišką nukleorūgščių sekai, parinktai iš SEQ ID Nr. 4–21.</w:t>
      </w:r>
    </w:p>
    <w:p w14:paraId="010619AE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6213DF22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9.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1–8 punktų,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apima seką, mažiausiai 60 %, mažiausiai 70 %, mažiausiai 80 %, mažiausiai 90 %, mažiausiai 95 %, mažiausiai 96 %, mažiausiai 97 %, mažiausiai 98 %, mažiausiai 99 % arba 100 % identišką sekai, nurodytai SEQ ID Nr. 65,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koduotas baltymas gali prisijungti prie laukinio tipo OX40 receptoriaus.</w:t>
      </w:r>
    </w:p>
    <w:p w14:paraId="2F63FAAA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29940C7F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10.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1–9 punktų,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yra chemiškai modifikuota.</w:t>
      </w:r>
    </w:p>
    <w:p w14:paraId="2FB03B94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16EA75A2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11.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10 punktą, kur modifikuota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turi vienodą visų arba bet kurio iš to paties </w:t>
      </w:r>
      <w:proofErr w:type="spellStart"/>
      <w:r w:rsidRPr="003D0B74">
        <w:rPr>
          <w:rFonts w:ascii="Helvetica" w:hAnsi="Helvetica" w:cs="Helvetica"/>
          <w:sz w:val="20"/>
        </w:rPr>
        <w:t>nukleozidų</w:t>
      </w:r>
      <w:proofErr w:type="spellEnd"/>
      <w:r w:rsidRPr="003D0B74">
        <w:rPr>
          <w:rFonts w:ascii="Helvetica" w:hAnsi="Helvetica" w:cs="Helvetica"/>
          <w:sz w:val="20"/>
        </w:rPr>
        <w:t xml:space="preserve"> tipo cheminę modifikaciją,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yra visiškai modifikuota tam tikrai </w:t>
      </w:r>
      <w:r w:rsidRPr="003D0B74">
        <w:rPr>
          <w:rFonts w:ascii="Helvetica" w:hAnsi="Helvetica" w:cs="Helvetica"/>
          <w:sz w:val="20"/>
        </w:rPr>
        <w:lastRenderedPageBreak/>
        <w:t xml:space="preserve">modifikacijai, pasirinktinai kur visi </w:t>
      </w:r>
      <w:proofErr w:type="spellStart"/>
      <w:r w:rsidRPr="003D0B74">
        <w:rPr>
          <w:rFonts w:ascii="Helvetica" w:hAnsi="Helvetica" w:cs="Helvetica"/>
          <w:sz w:val="20"/>
        </w:rPr>
        <w:t>uridinai</w:t>
      </w:r>
      <w:proofErr w:type="spellEnd"/>
      <w:r w:rsidRPr="003D0B74">
        <w:rPr>
          <w:rFonts w:ascii="Helvetica" w:hAnsi="Helvetica" w:cs="Helvetica"/>
          <w:sz w:val="20"/>
        </w:rPr>
        <w:t xml:space="preserve"> yra pakeisti </w:t>
      </w:r>
      <w:proofErr w:type="spellStart"/>
      <w:r w:rsidRPr="003D0B74">
        <w:rPr>
          <w:rFonts w:ascii="Helvetica" w:hAnsi="Helvetica" w:cs="Helvetica"/>
          <w:sz w:val="20"/>
        </w:rPr>
        <w:t>uridino</w:t>
      </w:r>
      <w:proofErr w:type="spellEnd"/>
      <w:r w:rsidRPr="003D0B74">
        <w:rPr>
          <w:rFonts w:ascii="Helvetica" w:hAnsi="Helvetica" w:cs="Helvetica"/>
          <w:sz w:val="20"/>
        </w:rPr>
        <w:t xml:space="preserve"> analogu, pasirinktinai kur modifikuota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yra visiškai modifikuota N1-metilpseudouridinu (m1ψ) ir (arba) 5-metilcitozinu.</w:t>
      </w:r>
    </w:p>
    <w:p w14:paraId="3BAF8BAA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588DBAFE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12.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1–11 punktų, kur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yra sukurta </w:t>
      </w:r>
      <w:proofErr w:type="spellStart"/>
      <w:r w:rsidRPr="003D0B74">
        <w:rPr>
          <w:rFonts w:ascii="Helvetica" w:hAnsi="Helvetica" w:cs="Helvetica"/>
          <w:sz w:val="20"/>
        </w:rPr>
        <w:t>intratumoraliniam</w:t>
      </w:r>
      <w:proofErr w:type="spellEnd"/>
      <w:r w:rsidRPr="003D0B74">
        <w:rPr>
          <w:rFonts w:ascii="Helvetica" w:hAnsi="Helvetica" w:cs="Helvetica"/>
          <w:sz w:val="20"/>
        </w:rPr>
        <w:t xml:space="preserve"> tiekimui ir pasirinktinai įvedama į naviką.</w:t>
      </w:r>
    </w:p>
    <w:p w14:paraId="504B91FE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7E2C9071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>13.</w:t>
      </w:r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 xml:space="preserve">, skirta naudoti pagal bet kurį iš 1–12 punktų, kur būdas papildomai apima PD-1 antagonisto, PD-L1 antagonisto ir (arba) CTLA-4 antagonisto skyrimą, pasirinktinai kur: </w:t>
      </w:r>
    </w:p>
    <w:p w14:paraId="0EAE30B8" w14:textId="77777777" w:rsidR="003D0B74" w:rsidRPr="003D0B74" w:rsidRDefault="003D0B74" w:rsidP="003D0B74">
      <w:pPr>
        <w:spacing w:line="360" w:lineRule="auto"/>
        <w:jc w:val="both"/>
        <w:rPr>
          <w:rFonts w:ascii="Helvetica" w:hAnsi="Helvetica" w:cs="Helvetica"/>
          <w:sz w:val="20"/>
        </w:rPr>
      </w:pPr>
      <w:r w:rsidRPr="003D0B74">
        <w:rPr>
          <w:rFonts w:ascii="Helvetica" w:hAnsi="Helvetica" w:cs="Helvetica"/>
          <w:sz w:val="20"/>
        </w:rPr>
        <w:t xml:space="preserve">I) PD-1 antagonistas yra antikūnas arba antigeną surišanti jo dalis, kurie specifiškai jungiasi prie PD-1, pasirinktinai PD-1 antagonistas yra </w:t>
      </w:r>
      <w:proofErr w:type="spellStart"/>
      <w:r w:rsidRPr="003D0B74">
        <w:rPr>
          <w:rFonts w:ascii="Helvetica" w:hAnsi="Helvetica" w:cs="Helvetica"/>
          <w:sz w:val="20"/>
        </w:rPr>
        <w:t>monokloninis</w:t>
      </w:r>
      <w:proofErr w:type="spellEnd"/>
      <w:r w:rsidRPr="003D0B74">
        <w:rPr>
          <w:rFonts w:ascii="Helvetica" w:hAnsi="Helvetica" w:cs="Helvetica"/>
          <w:sz w:val="20"/>
        </w:rPr>
        <w:t xml:space="preserve"> antikūnas, pasirinktinai PD-1 antagonistas yra parinktas iš grupės, susidedančios iš </w:t>
      </w:r>
      <w:proofErr w:type="spellStart"/>
      <w:r w:rsidRPr="003D0B74">
        <w:rPr>
          <w:rFonts w:ascii="Helvetica" w:hAnsi="Helvetica" w:cs="Helvetica"/>
          <w:sz w:val="20"/>
        </w:rPr>
        <w:t>nivolumabo</w:t>
      </w:r>
      <w:proofErr w:type="spellEnd"/>
      <w:r w:rsidRPr="003D0B74">
        <w:rPr>
          <w:rFonts w:ascii="Helvetica" w:hAnsi="Helvetica" w:cs="Helvetica"/>
          <w:sz w:val="20"/>
        </w:rPr>
        <w:t xml:space="preserve">, </w:t>
      </w:r>
      <w:proofErr w:type="spellStart"/>
      <w:r w:rsidRPr="003D0B74">
        <w:rPr>
          <w:rFonts w:ascii="Helvetica" w:hAnsi="Helvetica" w:cs="Helvetica"/>
          <w:sz w:val="20"/>
        </w:rPr>
        <w:t>pembrolizumabo</w:t>
      </w:r>
      <w:proofErr w:type="spellEnd"/>
      <w:r w:rsidRPr="003D0B74">
        <w:rPr>
          <w:rFonts w:ascii="Helvetica" w:hAnsi="Helvetica" w:cs="Helvetica"/>
          <w:sz w:val="20"/>
        </w:rPr>
        <w:t xml:space="preserve">, </w:t>
      </w:r>
      <w:proofErr w:type="spellStart"/>
      <w:r w:rsidRPr="003D0B74">
        <w:rPr>
          <w:rFonts w:ascii="Helvetica" w:hAnsi="Helvetica" w:cs="Helvetica"/>
          <w:sz w:val="20"/>
        </w:rPr>
        <w:t>pidilizumabo</w:t>
      </w:r>
      <w:proofErr w:type="spellEnd"/>
      <w:r w:rsidRPr="003D0B74">
        <w:rPr>
          <w:rFonts w:ascii="Helvetica" w:hAnsi="Helvetica" w:cs="Helvetica"/>
          <w:sz w:val="20"/>
        </w:rPr>
        <w:t xml:space="preserve"> ir bet kokio jų derinio,</w:t>
      </w:r>
    </w:p>
    <w:p w14:paraId="4B8FCB73" w14:textId="77777777" w:rsidR="003D0B74" w:rsidRPr="003D0B74" w:rsidRDefault="003D0B74" w:rsidP="003D0B74">
      <w:pPr>
        <w:spacing w:line="360" w:lineRule="auto"/>
        <w:jc w:val="both"/>
        <w:rPr>
          <w:rFonts w:ascii="Helvetica" w:hAnsi="Helvetica" w:cs="Helvetica"/>
          <w:sz w:val="20"/>
        </w:rPr>
      </w:pPr>
      <w:r w:rsidRPr="003D0B74">
        <w:rPr>
          <w:rFonts w:ascii="Helvetica" w:hAnsi="Helvetica" w:cs="Helvetica"/>
          <w:sz w:val="20"/>
        </w:rPr>
        <w:t xml:space="preserve">II) PD-L1 antagonistas yra antikūnas arba antigeną surišanti jo dalis, kurie specifiškai jungiasi prie PD-L1, pasirinktinai </w:t>
      </w:r>
      <w:proofErr w:type="spellStart"/>
      <w:r w:rsidRPr="003D0B74">
        <w:rPr>
          <w:rFonts w:ascii="Helvetica" w:hAnsi="Helvetica" w:cs="Helvetica"/>
          <w:sz w:val="20"/>
        </w:rPr>
        <w:t>monokloninis</w:t>
      </w:r>
      <w:proofErr w:type="spellEnd"/>
      <w:r w:rsidRPr="003D0B74">
        <w:rPr>
          <w:rFonts w:ascii="Helvetica" w:hAnsi="Helvetica" w:cs="Helvetica"/>
          <w:sz w:val="20"/>
        </w:rPr>
        <w:t xml:space="preserve"> antikūnas, pasirinktinai PD-L1 antagonistas yra parinktas iš grupės, susidedančios iš </w:t>
      </w:r>
      <w:proofErr w:type="spellStart"/>
      <w:r w:rsidRPr="003D0B74">
        <w:rPr>
          <w:rFonts w:ascii="Helvetica" w:hAnsi="Helvetica" w:cs="Helvetica"/>
          <w:sz w:val="20"/>
        </w:rPr>
        <w:t>durvalumabo</w:t>
      </w:r>
      <w:proofErr w:type="spellEnd"/>
      <w:r w:rsidRPr="003D0B74">
        <w:rPr>
          <w:rFonts w:ascii="Helvetica" w:hAnsi="Helvetica" w:cs="Helvetica"/>
          <w:sz w:val="20"/>
        </w:rPr>
        <w:t xml:space="preserve">, </w:t>
      </w:r>
      <w:proofErr w:type="spellStart"/>
      <w:r w:rsidRPr="003D0B74">
        <w:rPr>
          <w:rFonts w:ascii="Helvetica" w:hAnsi="Helvetica" w:cs="Helvetica"/>
          <w:sz w:val="20"/>
        </w:rPr>
        <w:t>avelumabo</w:t>
      </w:r>
      <w:proofErr w:type="spellEnd"/>
      <w:r w:rsidRPr="003D0B74">
        <w:rPr>
          <w:rFonts w:ascii="Helvetica" w:hAnsi="Helvetica" w:cs="Helvetica"/>
          <w:sz w:val="20"/>
        </w:rPr>
        <w:t xml:space="preserve">, MEDI473, BMS-936559, </w:t>
      </w:r>
      <w:proofErr w:type="spellStart"/>
      <w:r w:rsidRPr="003D0B74">
        <w:rPr>
          <w:rFonts w:ascii="Helvetica" w:hAnsi="Helvetica" w:cs="Helvetica"/>
          <w:sz w:val="20"/>
        </w:rPr>
        <w:t>atezolizumabo</w:t>
      </w:r>
      <w:proofErr w:type="spellEnd"/>
      <w:r w:rsidRPr="003D0B74">
        <w:rPr>
          <w:rFonts w:ascii="Helvetica" w:hAnsi="Helvetica" w:cs="Helvetica"/>
          <w:sz w:val="20"/>
        </w:rPr>
        <w:t xml:space="preserve"> ir bet kokio jų derinio ir (arba)</w:t>
      </w:r>
    </w:p>
    <w:p w14:paraId="667CD4FD" w14:textId="77777777" w:rsidR="003D0B74" w:rsidRPr="003D0B74" w:rsidRDefault="003D0B74" w:rsidP="003D0B74">
      <w:pPr>
        <w:spacing w:line="360" w:lineRule="auto"/>
        <w:jc w:val="both"/>
        <w:rPr>
          <w:rFonts w:ascii="Helvetica" w:hAnsi="Helvetica" w:cs="Helvetica"/>
          <w:sz w:val="20"/>
        </w:rPr>
      </w:pPr>
      <w:r w:rsidRPr="003D0B74">
        <w:rPr>
          <w:rFonts w:ascii="Helvetica" w:hAnsi="Helvetica" w:cs="Helvetica"/>
          <w:sz w:val="20"/>
        </w:rPr>
        <w:t xml:space="preserve">III) CTLA-4 antagonistas yra antikūnas arba antigeną surišanti jo dalis, kurie specifiškai jungiasi prie CTLA-4, pasirinktinai CTLA-4 antagonistas yra </w:t>
      </w:r>
      <w:proofErr w:type="spellStart"/>
      <w:r w:rsidRPr="003D0B74">
        <w:rPr>
          <w:rFonts w:ascii="Helvetica" w:hAnsi="Helvetica" w:cs="Helvetica"/>
          <w:sz w:val="20"/>
        </w:rPr>
        <w:t>monokloninis</w:t>
      </w:r>
      <w:proofErr w:type="spellEnd"/>
      <w:r w:rsidRPr="003D0B74">
        <w:rPr>
          <w:rFonts w:ascii="Helvetica" w:hAnsi="Helvetica" w:cs="Helvetica"/>
          <w:sz w:val="20"/>
        </w:rPr>
        <w:t xml:space="preserve"> antikūnas, pasirinktinai CTLA-4 antagonistas yra parinktas iš grupės, susidedančios iš </w:t>
      </w:r>
      <w:proofErr w:type="spellStart"/>
      <w:r w:rsidRPr="003D0B74">
        <w:rPr>
          <w:rFonts w:ascii="Helvetica" w:hAnsi="Helvetica" w:cs="Helvetica"/>
          <w:sz w:val="20"/>
        </w:rPr>
        <w:t>ipilimumabo</w:t>
      </w:r>
      <w:proofErr w:type="spellEnd"/>
      <w:r w:rsidRPr="003D0B74">
        <w:rPr>
          <w:rFonts w:ascii="Helvetica" w:hAnsi="Helvetica" w:cs="Helvetica"/>
          <w:sz w:val="20"/>
        </w:rPr>
        <w:t xml:space="preserve">, </w:t>
      </w:r>
      <w:proofErr w:type="spellStart"/>
      <w:r w:rsidRPr="003D0B74">
        <w:rPr>
          <w:rFonts w:ascii="Helvetica" w:hAnsi="Helvetica" w:cs="Helvetica"/>
          <w:sz w:val="20"/>
        </w:rPr>
        <w:t>tremelimumabo</w:t>
      </w:r>
      <w:proofErr w:type="spellEnd"/>
      <w:r w:rsidRPr="003D0B74">
        <w:rPr>
          <w:rFonts w:ascii="Helvetica" w:hAnsi="Helvetica" w:cs="Helvetica"/>
          <w:sz w:val="20"/>
        </w:rPr>
        <w:t xml:space="preserve"> ir bet kokio jų derinio.</w:t>
      </w:r>
    </w:p>
    <w:p w14:paraId="5E03E26C" w14:textId="77777777" w:rsidR="003D0B74" w:rsidRPr="003D0B74" w:rsidRDefault="003D0B74" w:rsidP="003D0B74">
      <w:pPr>
        <w:spacing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56123461" w14:textId="77777777" w:rsidR="003D0B74" w:rsidRPr="003D0B74" w:rsidRDefault="003D0B74" w:rsidP="003D0B74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3D0B74">
        <w:rPr>
          <w:rStyle w:val="bold1"/>
          <w:rFonts w:ascii="Helvetica" w:hAnsi="Helvetica" w:cs="Helvetica"/>
          <w:b w:val="0"/>
          <w:bCs w:val="0"/>
          <w:sz w:val="20"/>
        </w:rPr>
        <w:t xml:space="preserve">14. </w:t>
      </w:r>
      <w:proofErr w:type="spellStart"/>
      <w:r w:rsidRPr="003D0B74">
        <w:rPr>
          <w:rFonts w:ascii="Helvetica" w:hAnsi="Helvetica" w:cs="Helvetica"/>
          <w:sz w:val="20"/>
        </w:rPr>
        <w:t>iRNR</w:t>
      </w:r>
      <w:proofErr w:type="spellEnd"/>
      <w:r w:rsidRPr="003D0B74">
        <w:rPr>
          <w:rFonts w:ascii="Helvetica" w:hAnsi="Helvetica" w:cs="Helvetica"/>
          <w:sz w:val="20"/>
        </w:rPr>
        <w:t xml:space="preserve"> </w:t>
      </w:r>
      <w:proofErr w:type="spellStart"/>
      <w:r w:rsidRPr="003D0B74">
        <w:rPr>
          <w:rFonts w:ascii="Helvetica" w:hAnsi="Helvetica" w:cs="Helvetica"/>
          <w:sz w:val="20"/>
        </w:rPr>
        <w:t>formuliacija</w:t>
      </w:r>
      <w:proofErr w:type="spellEnd"/>
      <w:r w:rsidRPr="003D0B74">
        <w:rPr>
          <w:rFonts w:ascii="Helvetica" w:hAnsi="Helvetica" w:cs="Helvetica"/>
          <w:sz w:val="20"/>
        </w:rPr>
        <w:t>, skirta naudoti pagal bet kurį iš 1–13 punktų, kur taikant šį būdą T ląstelės yra aktyvuojamos, pasirinktinai kur aktyvuotos T ląstelės sumažina arba mažina naviko dydį, arba slopina naviko augimą.</w:t>
      </w:r>
    </w:p>
    <w:p w14:paraId="549624AC" w14:textId="77777777" w:rsidR="0018473C" w:rsidRPr="003D0B74" w:rsidRDefault="0018473C" w:rsidP="003D0B74">
      <w:pPr>
        <w:spacing w:line="360" w:lineRule="auto"/>
        <w:jc w:val="both"/>
        <w:rPr>
          <w:rFonts w:ascii="Helvetica" w:hAnsi="Helvetica" w:cs="Helvetica"/>
          <w:sz w:val="20"/>
        </w:rPr>
      </w:pPr>
    </w:p>
    <w:sectPr w:rsidR="0018473C" w:rsidRPr="003D0B74" w:rsidSect="003D0B74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70B2" w14:textId="77777777" w:rsidR="00E80255" w:rsidRDefault="00E80255" w:rsidP="003D0B74">
      <w:r>
        <w:separator/>
      </w:r>
    </w:p>
  </w:endnote>
  <w:endnote w:type="continuationSeparator" w:id="0">
    <w:p w14:paraId="2EC70D2F" w14:textId="77777777" w:rsidR="00E80255" w:rsidRDefault="00E80255" w:rsidP="003D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BAEE" w14:textId="77777777" w:rsidR="00E80255" w:rsidRDefault="00E80255" w:rsidP="003D0B74">
      <w:r>
        <w:separator/>
      </w:r>
    </w:p>
  </w:footnote>
  <w:footnote w:type="continuationSeparator" w:id="0">
    <w:p w14:paraId="3D906E86" w14:textId="77777777" w:rsidR="00E80255" w:rsidRDefault="00E80255" w:rsidP="003D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0B74"/>
    <w:rsid w:val="0000726D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3D0B74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80255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DBBC"/>
  <w15:chartTrackingRefBased/>
  <w15:docId w15:val="{6706655E-17BD-4073-8A14-55267F8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74"/>
    <w:rPr>
      <w:rFonts w:eastAsiaTheme="minorEastAsia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1">
    <w:name w:val="bold1"/>
    <w:basedOn w:val="Numatytasispastraiposriftas"/>
    <w:rsid w:val="003D0B74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3D0B74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0B74"/>
    <w:rPr>
      <w:rFonts w:eastAsiaTheme="minorEastAsia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D0B74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D0B74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4028</Characters>
  <Application>Microsoft Office Word</Application>
  <DocSecurity>0</DocSecurity>
  <Lines>67</Lines>
  <Paragraphs>23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2022-04-14T12:07:00Z</dcterms:created>
  <dcterms:modified xsi:type="dcterms:W3CDTF">2022-04-14T12:13:00Z</dcterms:modified>
</cp:coreProperties>
</file>