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E53E" w14:textId="31819DB6" w:rsidR="006F3787" w:rsidRPr="008A5765" w:rsidRDefault="006F3787" w:rsidP="008A576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CNP provaistas arba farmaciniu požiūriu priimtina 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druska, apimantys</w:t>
      </w:r>
    </w:p>
    <w:p w14:paraId="7E876252" w14:textId="77777777" w:rsidR="006F3787" w:rsidRP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- CNP fragmentą -D, apimantį žiedo fragmentą; ir</w:t>
      </w:r>
    </w:p>
    <w:p w14:paraId="6F09E320" w14:textId="71B07C2C" w:rsid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- nešiklio fragmentą -Z, kuris yra konjuguotas per -L</w:t>
      </w:r>
      <w:r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fragmentą- </w:t>
      </w:r>
      <w:r w:rsidR="003457B6" w:rsidRPr="008A5765">
        <w:rPr>
          <w:rFonts w:ascii="Helvetica" w:eastAsia="Times New Roman" w:hAnsi="Helvetica" w:cs="Helvetica"/>
          <w:sz w:val="20"/>
          <w:szCs w:val="24"/>
          <w:lang w:eastAsia="lt-LT"/>
        </w:rPr>
        <w:t>susidarant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3457B6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reversiniam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provaisto jungtuko fragment</w:t>
      </w:r>
      <w:r w:rsidR="003457B6" w:rsidRPr="008A5765">
        <w:rPr>
          <w:rFonts w:ascii="Helvetica" w:eastAsia="Times New Roman" w:hAnsi="Helvetica" w:cs="Helvetica"/>
          <w:sz w:val="20"/>
          <w:szCs w:val="24"/>
          <w:lang w:eastAsia="lt-LT"/>
        </w:rPr>
        <w:t>ui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-L</w:t>
      </w:r>
      <w:r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-, kur </w:t>
      </w:r>
      <w:r w:rsidR="003457B6" w:rsidRPr="008A5765">
        <w:rPr>
          <w:rFonts w:ascii="Helvetica" w:eastAsia="Times New Roman" w:hAnsi="Helvetica" w:cs="Helvetica"/>
          <w:sz w:val="20"/>
          <w:szCs w:val="24"/>
          <w:lang w:eastAsia="lt-LT"/>
        </w:rPr>
        <w:t>rever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si</w:t>
      </w:r>
      <w:r w:rsidR="003457B6" w:rsidRPr="008A5765">
        <w:rPr>
          <w:rFonts w:ascii="Helvetica" w:eastAsia="Times New Roman" w:hAnsi="Helvetica" w:cs="Helvetica"/>
          <w:sz w:val="20"/>
          <w:szCs w:val="24"/>
          <w:lang w:eastAsia="lt-LT"/>
        </w:rPr>
        <w:t>ni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s provaisto jungt</w:t>
      </w:r>
      <w:r w:rsidR="003457B6" w:rsidRPr="008A5765">
        <w:rPr>
          <w:rFonts w:ascii="Helvetica" w:eastAsia="Times New Roman" w:hAnsi="Helvetica" w:cs="Helvetica"/>
          <w:sz w:val="20"/>
          <w:szCs w:val="24"/>
          <w:lang w:eastAsia="lt-LT"/>
        </w:rPr>
        <w:t>uko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fragmentas -L</w:t>
      </w:r>
      <w:r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- yra kovalentiškai ir grįžtamai konjuguotas su minėto žiedo </w:t>
      </w:r>
      <w:r w:rsidR="003457B6" w:rsidRPr="008A5765">
        <w:rPr>
          <w:rFonts w:ascii="Helvetica" w:eastAsia="Times New Roman" w:hAnsi="Helvetica" w:cs="Helvetica"/>
          <w:sz w:val="20"/>
          <w:szCs w:val="24"/>
          <w:lang w:eastAsia="lt-LT"/>
        </w:rPr>
        <w:t>fragmento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-D aminorūgšties liekanos šonine grandine; ir kur -L</w:t>
      </w:r>
      <w:r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- yra cheminė jungtis arba 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>skirtukas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kur fragment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-L</w:t>
      </w:r>
      <w:r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-L</w:t>
      </w:r>
      <w:r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- formulė 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(IId-ii):</w:t>
      </w:r>
    </w:p>
    <w:p w14:paraId="1A98A83C" w14:textId="77777777" w:rsidR="006B2E97" w:rsidRPr="008A5765" w:rsidRDefault="006B2E9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757CC8D" w14:textId="77777777" w:rsidR="008A5765" w:rsidRPr="008A5765" w:rsidRDefault="006F3787" w:rsidP="008A5765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0A3FC2C6" wp14:editId="44357F3D">
            <wp:extent cx="3182978" cy="1435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52" cy="143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308A4" w14:textId="66552FEF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k</w:t>
      </w:r>
      <w:r w:rsidR="006F3787" w:rsidRPr="008A5765">
        <w:rPr>
          <w:rFonts w:ascii="Helvetica" w:eastAsia="Times New Roman" w:hAnsi="Helvetica" w:cs="Helvetica"/>
          <w:sz w:val="20"/>
          <w:szCs w:val="24"/>
          <w:lang w:eastAsia="lt-LT"/>
        </w:rPr>
        <w:t>urioje</w:t>
      </w:r>
    </w:p>
    <w:p w14:paraId="2B215659" w14:textId="2A353A4E" w:rsidR="0007726E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nepažymėta punktyrinė linija 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>nurodo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- žiedo 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>fragmento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D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aminorūgš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>ties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šoninės grandinės prisijungimą prie azoto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>susidarant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amid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>inei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</w:t>
      </w:r>
      <w:r w:rsidR="00C90DB5" w:rsidRPr="008A5765">
        <w:rPr>
          <w:rFonts w:ascii="Helvetica" w:eastAsia="Times New Roman" w:hAnsi="Helvetica" w:cs="Helvetica"/>
          <w:sz w:val="20"/>
          <w:szCs w:val="24"/>
          <w:lang w:eastAsia="lt-LT"/>
        </w:rPr>
        <w:t>čiai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; o</w:t>
      </w:r>
      <w:r w:rsidR="00C201F8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punktyrinė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linija, pažymėta žvaigždute, rodo pri</w:t>
      </w:r>
      <w:r w:rsidR="00C201F8" w:rsidRPr="008A5765">
        <w:rPr>
          <w:rFonts w:ascii="Helvetica" w:eastAsia="Times New Roman" w:hAnsi="Helvetica" w:cs="Helvetica"/>
          <w:sz w:val="20"/>
          <w:szCs w:val="24"/>
          <w:lang w:eastAsia="lt-LT"/>
        </w:rPr>
        <w:t>si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jungimą prie -Z; kur -D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sek</w:t>
      </w:r>
      <w:r w:rsidR="0007726E" w:rsidRPr="008A5765">
        <w:rPr>
          <w:rFonts w:ascii="Helvetica" w:eastAsia="Times New Roman" w:hAnsi="Helvetica" w:cs="Helvetica"/>
          <w:sz w:val="20"/>
          <w:szCs w:val="24"/>
          <w:lang w:eastAsia="lt-LT"/>
        </w:rPr>
        <w:t>a yra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24 ir -L</w:t>
      </w:r>
      <w:r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- yra konjuguotas </w:t>
      </w:r>
      <w:r w:rsidR="0007726E" w:rsidRPr="008A5765">
        <w:rPr>
          <w:rFonts w:ascii="Helvetica" w:eastAsia="Times New Roman" w:hAnsi="Helvetica" w:cs="Helvetica"/>
          <w:sz w:val="20"/>
          <w:szCs w:val="24"/>
          <w:lang w:eastAsia="lt-LT"/>
        </w:rPr>
        <w:t>prie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lizin</w:t>
      </w:r>
      <w:r w:rsidR="0007726E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26 padėtyje; kur </w:t>
      </w:r>
      <w:r w:rsidR="0007726E" w:rsidRPr="008A5765">
        <w:rPr>
          <w:rFonts w:ascii="Helvetica" w:eastAsia="Times New Roman" w:hAnsi="Helvetica" w:cs="Helvetica"/>
          <w:sz w:val="20"/>
          <w:szCs w:val="24"/>
          <w:lang w:eastAsia="lt-LT"/>
        </w:rPr>
        <w:t>–</w:t>
      </w:r>
      <w:r w:rsidR="0007726E" w:rsidRPr="008A5765">
        <w:rPr>
          <w:rFonts w:ascii="Helvetica" w:hAnsi="Helvetica" w:cs="Helvetica"/>
          <w:sz w:val="20"/>
        </w:rPr>
        <w:t xml:space="preserve"> </w:t>
      </w:r>
      <w:r w:rsidR="0007726E" w:rsidRPr="008A5765">
        <w:rPr>
          <w:rFonts w:ascii="Helvetica" w:eastAsia="Times New Roman" w:hAnsi="Helvetica" w:cs="Helvetica"/>
          <w:sz w:val="20"/>
          <w:szCs w:val="24"/>
          <w:lang w:eastAsia="lt-LT"/>
        </w:rPr>
        <w:t>Z formulė yra (h):</w:t>
      </w:r>
    </w:p>
    <w:p w14:paraId="570A8B64" w14:textId="77777777" w:rsidR="006B2E97" w:rsidRPr="008A5765" w:rsidRDefault="006B2E9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0D4E1CD" w14:textId="10759704" w:rsidR="008A5765" w:rsidRPr="008A5765" w:rsidRDefault="006F3787" w:rsidP="008A5765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212BEDB6" wp14:editId="6EAAD188">
            <wp:extent cx="3936391" cy="31813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66" cy="31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EC16" w14:textId="611A8107" w:rsidR="006F3787" w:rsidRP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kurioje</w:t>
      </w:r>
    </w:p>
    <w:p w14:paraId="1F14CB0E" w14:textId="66B8B371" w:rsidR="006F3787" w:rsidRPr="008A5765" w:rsidRDefault="00C201F8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punktyrinė </w:t>
      </w:r>
      <w:r w:rsidR="006F3787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linija rodo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prisijungimą </w:t>
      </w:r>
      <w:r w:rsidR="006F3787" w:rsidRPr="008A5765">
        <w:rPr>
          <w:rFonts w:ascii="Helvetica" w:eastAsia="Times New Roman" w:hAnsi="Helvetica" w:cs="Helvetica"/>
          <w:sz w:val="20"/>
          <w:szCs w:val="24"/>
          <w:lang w:eastAsia="lt-LT"/>
        </w:rPr>
        <w:t>prie -L</w:t>
      </w:r>
      <w:r w:rsidR="006F3787"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="006F3787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-;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</w:p>
    <w:p w14:paraId="7BBEA15D" w14:textId="77777777" w:rsidR="006F3787" w:rsidRP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kiekvienas -Z</w:t>
      </w:r>
      <w:r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 yra fragmentas</w:t>
      </w:r>
    </w:p>
    <w:p w14:paraId="7FC6CED5" w14:textId="77777777" w:rsidR="008A5765" w:rsidRPr="008A5765" w:rsidRDefault="006F3787" w:rsidP="008A5765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385971BF" wp14:editId="21377241">
            <wp:extent cx="5303716" cy="1130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636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C2F2E" w14:textId="7A250025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k</w:t>
      </w:r>
      <w:r w:rsidR="006F3787" w:rsidRPr="008A5765">
        <w:rPr>
          <w:rFonts w:ascii="Helvetica" w:eastAsia="Times New Roman" w:hAnsi="Helvetica" w:cs="Helvetica"/>
          <w:sz w:val="20"/>
          <w:szCs w:val="24"/>
          <w:lang w:eastAsia="lt-LT"/>
        </w:rPr>
        <w:t>ur</w:t>
      </w:r>
    </w:p>
    <w:p w14:paraId="5B415F59" w14:textId="72A0AA8F" w:rsidR="006F3787" w:rsidRP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 xml:space="preserve">kiekvienas c1 yra sveikas skaičius, nepriklausomai </w:t>
      </w:r>
      <w:r w:rsidR="0007726E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svyruojantis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nuo 200 iki 250.</w:t>
      </w:r>
    </w:p>
    <w:p w14:paraId="2CA92361" w14:textId="77777777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099CD54" w14:textId="79D7F19C" w:rsidR="00432AE2" w:rsidRPr="008A5765" w:rsidRDefault="006F3787" w:rsidP="008A576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2. CNP provaistas arba jo farmaciniu požiūriu priimtina druska pagal 1 punktą, kur</w:t>
      </w:r>
      <w:r w:rsidR="00432AE2" w:rsidRPr="008A5765">
        <w:rPr>
          <w:rFonts w:ascii="Helvetica" w:eastAsia="Times New Roman" w:hAnsi="Helvetica" w:cs="Helvetica"/>
          <w:sz w:val="20"/>
          <w:szCs w:val="24"/>
          <w:lang w:eastAsia="lt-LT"/>
        </w:rPr>
        <w:t>– L</w:t>
      </w:r>
      <w:r w:rsidR="00432AE2"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="00432AE2" w:rsidRPr="008A5765">
        <w:rPr>
          <w:rFonts w:ascii="Helvetica" w:eastAsia="Times New Roman" w:hAnsi="Helvetica" w:cs="Helvetica"/>
          <w:sz w:val="20"/>
          <w:szCs w:val="24"/>
          <w:lang w:eastAsia="lt-LT"/>
        </w:rPr>
        <w:t>-L</w:t>
      </w:r>
      <w:r w:rsidR="00432AE2"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="00432AE2" w:rsidRPr="008A5765">
        <w:rPr>
          <w:rFonts w:ascii="Helvetica" w:eastAsia="Times New Roman" w:hAnsi="Helvetica" w:cs="Helvetica"/>
          <w:sz w:val="20"/>
          <w:szCs w:val="24"/>
          <w:lang w:eastAsia="lt-LT"/>
        </w:rPr>
        <w:t>- formulė yra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32AE2" w:rsidRPr="008A5765">
        <w:rPr>
          <w:rFonts w:ascii="Helvetica" w:eastAsia="Times New Roman" w:hAnsi="Helvetica" w:cs="Helvetica"/>
          <w:sz w:val="20"/>
          <w:szCs w:val="24"/>
          <w:lang w:eastAsia="lt-LT"/>
        </w:rPr>
        <w:t>(IId-ii'):</w:t>
      </w:r>
    </w:p>
    <w:p w14:paraId="10A3475A" w14:textId="77777777" w:rsidR="008A5765" w:rsidRPr="008A5765" w:rsidRDefault="006F3787" w:rsidP="008A5765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37BA659F" wp14:editId="0FBD73A3">
            <wp:extent cx="3198761" cy="16256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604" cy="162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CABC5" w14:textId="5FDDF42F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k</w:t>
      </w:r>
      <w:r w:rsidR="006F3787" w:rsidRPr="008A5765">
        <w:rPr>
          <w:rFonts w:ascii="Helvetica" w:eastAsia="Times New Roman" w:hAnsi="Helvetica" w:cs="Helvetica"/>
          <w:sz w:val="20"/>
          <w:szCs w:val="24"/>
          <w:lang w:eastAsia="lt-LT"/>
        </w:rPr>
        <w:t>urioje</w:t>
      </w:r>
    </w:p>
    <w:p w14:paraId="02266988" w14:textId="6CD5C753" w:rsidR="006F3787" w:rsidRP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nepažymėta punktyrinė linija žymi </w:t>
      </w:r>
      <w:r w:rsidR="00C201F8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prisijungimą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prie -D, kaip apibrėžta 1 punkte, o pažymėta punktyrinė linija žymi pri</w:t>
      </w:r>
      <w:r w:rsidR="00C201F8" w:rsidRPr="008A5765">
        <w:rPr>
          <w:rFonts w:ascii="Helvetica" w:eastAsia="Times New Roman" w:hAnsi="Helvetica" w:cs="Helvetica"/>
          <w:sz w:val="20"/>
          <w:szCs w:val="24"/>
          <w:lang w:eastAsia="lt-LT"/>
        </w:rPr>
        <w:t>si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jungimą prie -Z, kaip apibrėžta 1 punkte.</w:t>
      </w:r>
    </w:p>
    <w:p w14:paraId="3A268FC2" w14:textId="77777777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3DAEDA0" w14:textId="02ED1B56" w:rsidR="006F3787" w:rsidRPr="008A5765" w:rsidRDefault="006F3787" w:rsidP="008A576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CNP provaistas arba jo farmaciniu požiūriu priimtina druska pagal 1 arba 2 punktą, kur</w:t>
      </w:r>
    </w:p>
    <w:p w14:paraId="7BB7D0EC" w14:textId="55D6E9AA" w:rsidR="00C201F8" w:rsidRPr="008A5765" w:rsidRDefault="00C201F8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- Z formulė yra (h-i):</w:t>
      </w:r>
    </w:p>
    <w:p w14:paraId="178AAF80" w14:textId="77777777" w:rsidR="008A5765" w:rsidRPr="008A5765" w:rsidRDefault="006F3787" w:rsidP="008A5765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209F1C2C" wp14:editId="3C09FB9F">
            <wp:extent cx="3884591" cy="3079750"/>
            <wp:effectExtent l="0" t="0" r="190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418" cy="309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AFAC0" w14:textId="3BF3EAFD" w:rsidR="006F3787" w:rsidRP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kurioje</w:t>
      </w:r>
    </w:p>
    <w:p w14:paraId="2BD2799C" w14:textId="231F81A0" w:rsidR="006F3787" w:rsidRPr="008A5765" w:rsidRDefault="00C201F8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punktyrinė linija žymi prisijungimą </w:t>
      </w:r>
      <w:r w:rsidR="006F3787" w:rsidRPr="008A5765">
        <w:rPr>
          <w:rFonts w:ascii="Helvetica" w:eastAsia="Times New Roman" w:hAnsi="Helvetica" w:cs="Helvetica"/>
          <w:sz w:val="20"/>
          <w:szCs w:val="24"/>
          <w:lang w:eastAsia="lt-LT"/>
        </w:rPr>
        <w:t>prie -L</w:t>
      </w:r>
      <w:r w:rsidR="006F3787"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="006F3787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-;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</w:p>
    <w:p w14:paraId="449011B1" w14:textId="77777777" w:rsidR="006F3787" w:rsidRP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kiekvienas -Z</w:t>
      </w:r>
      <w:r w:rsidRPr="008A5765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c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 yra fragmentas</w:t>
      </w:r>
    </w:p>
    <w:p w14:paraId="60180C20" w14:textId="77777777" w:rsidR="008A5765" w:rsidRPr="008A5765" w:rsidRDefault="006F3787" w:rsidP="008A5765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4B1A4AA7" wp14:editId="07E98877">
            <wp:extent cx="5303712" cy="1130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640" cy="113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96A20" w14:textId="6DB163C3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k</w:t>
      </w:r>
      <w:r w:rsidR="006F3787" w:rsidRPr="008A5765">
        <w:rPr>
          <w:rFonts w:ascii="Helvetica" w:eastAsia="Times New Roman" w:hAnsi="Helvetica" w:cs="Helvetica"/>
          <w:sz w:val="20"/>
          <w:szCs w:val="24"/>
          <w:lang w:eastAsia="lt-LT"/>
        </w:rPr>
        <w:t>ur</w:t>
      </w:r>
    </w:p>
    <w:p w14:paraId="660379BB" w14:textId="3BEA688B" w:rsidR="006F3787" w:rsidRP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kiekvienas c1 yra sveikas skaičius, nepriklausomai 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svyruojantis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nuo 200 iki 250.</w:t>
      </w:r>
    </w:p>
    <w:p w14:paraId="3CB331DE" w14:textId="77777777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2D5DFEA" w14:textId="537B4B61" w:rsidR="00E8004A" w:rsidRPr="008A5765" w:rsidRDefault="006F3787" w:rsidP="008A576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4.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CNP provaistas arba jo farmaciniu požiūriu priimtina druska pagal bet kurį iš 1-3 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>punktų, kur kiekvienas c1 yra apie 225.</w:t>
      </w:r>
    </w:p>
    <w:p w14:paraId="79344373" w14:textId="77777777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8F9F8C9" w14:textId="08001AF7" w:rsidR="006F3787" w:rsidRPr="008A5765" w:rsidRDefault="006F3787" w:rsidP="008A576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>bent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vieną CNP provaistą arba jo farmaciniu požiūriu priimtiną druską pagal bet kurį iš 1-4 punktų ir 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>bent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vieną 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>pagalbinę medžiagą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07173DAA" w14:textId="77777777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C236088" w14:textId="77777777" w:rsidR="008A5765" w:rsidRPr="008A5765" w:rsidRDefault="006F3787" w:rsidP="008A576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CNP provaistas arba jo farmaciniu požiūriu priimtina druska pagal bet kurį iš 1-4 punktų arba farmacinė kompozicija pagal 5 punktą, skirt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kaip vaist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37C551C3" w14:textId="77777777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D787371" w14:textId="164AEC0A" w:rsidR="00E8004A" w:rsidRPr="008A5765" w:rsidRDefault="006F3787" w:rsidP="008A576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CNP provaistas arba jo farmaciniu požiūriu priimtina druska arba farmacinė kompozicija, skirt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6 punktą, kur vaistas yra naudojamas 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>achondroplazijos gydymui poodinės injekcijos būdu.</w:t>
      </w:r>
    </w:p>
    <w:p w14:paraId="3D513E70" w14:textId="27DE7591" w:rsidR="006F3787" w:rsidRP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49B0975" w14:textId="708D0ED3" w:rsidR="00E8004A" w:rsidRPr="008A5765" w:rsidRDefault="006F3787" w:rsidP="008A576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CNP provaistas arba jo farmaciniu požiūriu priimtina druska pagal bet kurį iš 1-4 punktų arba farmacinė kompozicija pagal 5 punktą, skirti naudoti ligos, kuri gali būti 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>gydoma CNP, gydymui.</w:t>
      </w:r>
    </w:p>
    <w:p w14:paraId="18715EA1" w14:textId="77777777" w:rsidR="008A5765" w:rsidRPr="008A5765" w:rsidRDefault="008A5765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C269A4F" w14:textId="456BED1F" w:rsidR="007B11FB" w:rsidRPr="008A5765" w:rsidRDefault="006F3787" w:rsidP="008A576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CNP provaistas arba jo farmaciniu požiūriu priimtina druska arba farmacinė kompozicija, skirt</w:t>
      </w:r>
      <w:r w:rsidR="00E8004A" w:rsidRPr="008A5765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8 punktą, kur liga, kuri gali būti gydoma CNP, yra parinkta iš grupės, susidedančios iš achondroplazijos, hipochondroplazijos, žemo ūgio, </w:t>
      </w:r>
      <w:r w:rsidR="006052E2" w:rsidRPr="008A5765">
        <w:rPr>
          <w:rFonts w:ascii="Helvetica" w:eastAsia="Times New Roman" w:hAnsi="Helvetica" w:cs="Helvetica"/>
          <w:sz w:val="20"/>
          <w:szCs w:val="24"/>
          <w:lang w:eastAsia="lt-LT"/>
        </w:rPr>
        <w:t>dvarfiz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mo, osteochondrodisplazijos, tanatoforinės displazijos, ne</w:t>
      </w:r>
      <w:r w:rsidR="006052E2" w:rsidRPr="008A5765">
        <w:rPr>
          <w:rFonts w:ascii="Helvetica" w:eastAsia="Times New Roman" w:hAnsi="Helvetica" w:cs="Helvetica"/>
          <w:sz w:val="20"/>
          <w:szCs w:val="24"/>
          <w:lang w:eastAsia="lt-LT"/>
        </w:rPr>
        <w:t>baigtinės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osteogenezės,</w:t>
      </w:r>
      <w:r w:rsidR="00CA12CF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achondrogenezė</w:t>
      </w:r>
      <w:r w:rsidR="006052E2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CA12CF" w:rsidRPr="008A5765">
        <w:rPr>
          <w:rFonts w:ascii="Helvetica" w:hAnsi="Helvetica" w:cs="Helvetica"/>
          <w:color w:val="4D5156"/>
          <w:sz w:val="20"/>
          <w:szCs w:val="21"/>
          <w:shd w:val="clear" w:color="auto" w:fill="FFFFFF"/>
        </w:rPr>
        <w:t xml:space="preserve"> </w:t>
      </w:r>
      <w:r w:rsidR="004D3D9A" w:rsidRPr="008A5765">
        <w:rPr>
          <w:rFonts w:ascii="Helvetica" w:hAnsi="Helvetica" w:cs="Helvetica"/>
          <w:sz w:val="20"/>
          <w:szCs w:val="24"/>
          <w:shd w:val="clear" w:color="auto" w:fill="FFFFFF"/>
        </w:rPr>
        <w:t>taškinės chondrodisplazijos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homozigotinė</w:t>
      </w:r>
      <w:r w:rsidR="006052E2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achondroplazij</w:t>
      </w:r>
      <w:r w:rsidR="006052E2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kamptomelinė</w:t>
      </w:r>
      <w:r w:rsidR="006052E2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displazij</w:t>
      </w:r>
      <w:r w:rsidR="006052E2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įgimt</w:t>
      </w:r>
      <w:r w:rsidR="004D3D9A" w:rsidRPr="008A5765">
        <w:rPr>
          <w:rFonts w:ascii="Helvetica" w:eastAsia="Times New Roman" w:hAnsi="Helvetica" w:cs="Helvetica"/>
          <w:sz w:val="20"/>
          <w:szCs w:val="24"/>
          <w:lang w:eastAsia="lt-LT"/>
        </w:rPr>
        <w:t>os letalios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hipofosfatazij</w:t>
      </w:r>
      <w:r w:rsidR="004D3D9A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perinatalinė</w:t>
      </w:r>
      <w:r w:rsidR="004D3D9A" w:rsidRPr="008A5765">
        <w:rPr>
          <w:rFonts w:ascii="Helvetica" w:eastAsia="Times New Roman" w:hAnsi="Helvetica" w:cs="Helvetica"/>
          <w:sz w:val="20"/>
          <w:szCs w:val="24"/>
          <w:lang w:eastAsia="lt-LT"/>
        </w:rPr>
        <w:t>s letalaus tipo nebaigtinės osteogenezės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trumpų šonkaulių</w:t>
      </w:r>
      <w:r w:rsidR="004D3D9A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polidaktilijos sindrom</w:t>
      </w:r>
      <w:r w:rsidR="004D3D9A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rizomelinė</w:t>
      </w:r>
      <w:r w:rsidR="004D3D9A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s </w:t>
      </w:r>
      <w:r w:rsidR="004D3D9A" w:rsidRPr="008A5765">
        <w:rPr>
          <w:rFonts w:ascii="Helvetica" w:hAnsi="Helvetica" w:cs="Helvetica"/>
          <w:sz w:val="20"/>
          <w:szCs w:val="24"/>
          <w:shd w:val="clear" w:color="auto" w:fill="FFFFFF"/>
        </w:rPr>
        <w:t>taškinės chondrodisplazijos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E708A4" w:rsidRPr="008A5765">
        <w:rPr>
          <w:rFonts w:ascii="Helvetica" w:eastAsia="Times New Roman" w:hAnsi="Helvetica" w:cs="Helvetica"/>
          <w:sz w:val="20"/>
          <w:szCs w:val="24"/>
          <w:lang w:eastAsia="lt-LT"/>
        </w:rPr>
        <w:t>Janseno metafizinės displazijos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E708A4" w:rsidRPr="008A5765">
        <w:rPr>
          <w:rFonts w:ascii="Helvetica" w:eastAsia="Times New Roman" w:hAnsi="Helvetica" w:cs="Helvetica"/>
          <w:sz w:val="20"/>
          <w:szCs w:val="24"/>
          <w:lang w:eastAsia="lt-LT"/>
        </w:rPr>
        <w:t>įgimtos spondiloepifizinės displazijos,</w:t>
      </w:r>
      <w:r w:rsidR="00144642" w:rsidRPr="008A5765">
        <w:rPr>
          <w:rFonts w:ascii="Helvetica" w:hAnsi="Helvetica" w:cs="Helvetica"/>
          <w:sz w:val="20"/>
        </w:rPr>
        <w:t xml:space="preserve"> </w:t>
      </w:r>
      <w:r w:rsidR="00144642" w:rsidRPr="008A5765">
        <w:rPr>
          <w:rFonts w:ascii="Helvetica" w:hAnsi="Helvetica" w:cs="Helvetica"/>
          <w:sz w:val="20"/>
          <w:szCs w:val="24"/>
        </w:rPr>
        <w:t>atelosteogenezės, diastrofinės displazijos</w:t>
      </w:r>
      <w:r w:rsidR="00144642" w:rsidRPr="008A5765">
        <w:rPr>
          <w:rFonts w:ascii="Helvetica" w:hAnsi="Helvetica" w:cs="Helvetica"/>
          <w:sz w:val="20"/>
        </w:rPr>
        <w:t xml:space="preserve">,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įgimt</w:t>
      </w:r>
      <w:r w:rsidR="00144642" w:rsidRPr="008A576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trump</w:t>
      </w:r>
      <w:r w:rsidR="00144642" w:rsidRPr="008A576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šlaunikauli</w:t>
      </w:r>
      <w:r w:rsidR="00144642" w:rsidRPr="008A576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Langer tipo mezomelinė</w:t>
      </w:r>
      <w:r w:rsidR="00144642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displazij</w:t>
      </w:r>
      <w:r w:rsidR="00144642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Nievergelt tipo mezomelinė</w:t>
      </w:r>
      <w:r w:rsidR="00144642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displazij</w:t>
      </w:r>
      <w:r w:rsidR="00144642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Robinow sindrom</w:t>
      </w:r>
      <w:r w:rsidR="00144642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Reinhardt sindrom</w:t>
      </w:r>
      <w:r w:rsidR="00144642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akrodisostozė</w:t>
      </w:r>
      <w:r w:rsidR="00144642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periferinė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disostozė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Kniest displazij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fibrochondrogenezė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Robertso sindrom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akromezomelinė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displazij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mikromelij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Morquio sindrom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o,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Kni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est sindrom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metatropinė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displazij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spondiloepimetafizės displazij</w:t>
      </w:r>
      <w:r w:rsidR="004211E1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neurofibromatozė</w:t>
      </w:r>
      <w:r w:rsidR="00670090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Legius sindrom</w:t>
      </w:r>
      <w:r w:rsidR="00670090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LEOPARD sindrom</w:t>
      </w:r>
      <w:r w:rsidR="00670090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Noonan sindrom</w:t>
      </w:r>
      <w:r w:rsidR="00670090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paveld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ėtos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dantenų fibromatozė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kardiofaciokutanini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sindrom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Costello sindrom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60395E" w:rsidRPr="008A5765">
        <w:rPr>
          <w:rFonts w:ascii="Helvetica" w:hAnsi="Helvetica" w:cs="Helvetica"/>
          <w:color w:val="000000" w:themeColor="text1"/>
          <w:sz w:val="20"/>
          <w:szCs w:val="24"/>
          <w:shd w:val="clear" w:color="auto" w:fill="FFFFFF"/>
        </w:rPr>
        <w:t>mažo ūgio homeozinio geno</w:t>
      </w:r>
      <w:r w:rsidR="008A5765" w:rsidRPr="008A5765">
        <w:rPr>
          <w:rFonts w:ascii="Helvetica" w:hAnsi="Helvetica" w:cs="Helvetica"/>
          <w:color w:val="000000" w:themeColor="text1"/>
          <w:sz w:val="20"/>
          <w:szCs w:val="21"/>
          <w:shd w:val="clear" w:color="auto" w:fill="FFFFFF"/>
        </w:rPr>
        <w:t xml:space="preserve"> </w:t>
      </w:r>
      <w:r w:rsidR="0060395E" w:rsidRPr="008A5765">
        <w:rPr>
          <w:rFonts w:ascii="Helvetica" w:eastAsia="Times New Roman" w:hAnsi="Helvetica" w:cs="Helvetica"/>
          <w:color w:val="000000" w:themeColor="text1"/>
          <w:sz w:val="20"/>
          <w:szCs w:val="24"/>
          <w:lang w:eastAsia="lt-LT"/>
        </w:rPr>
        <w:t>(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SHOX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trūkum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idiopatini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žem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ūgi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augimo hormono nepakankamum</w:t>
      </w:r>
      <w:r w:rsidR="0060395E" w:rsidRPr="008A5765">
        <w:rPr>
          <w:rFonts w:ascii="Helvetica" w:eastAsia="Times New Roman" w:hAnsi="Helvetica" w:cs="Helvetica"/>
          <w:sz w:val="20"/>
          <w:szCs w:val="24"/>
          <w:lang w:eastAsia="lt-LT"/>
        </w:rPr>
        <w:t>o, osteoartrito,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kleidokranialinės disostozės, kraniosinostozės, branchidaktilijos,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kamptodaktilij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polidaktilij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sindaktilij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disegmentinė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displazij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enchondromatozė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fibrozinė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displazij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paveldimos daugybinės egzostozės, hipofosfatemini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rachit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Jaffe-Lichtenstein sindrom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Marfano sindrom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, McCune-</w:t>
      </w:r>
      <w:r w:rsidR="007B11FB" w:rsidRPr="008A5765">
        <w:rPr>
          <w:rFonts w:ascii="Helvetica" w:hAnsi="Helvetica" w:cs="Helvetica"/>
          <w:sz w:val="20"/>
        </w:rPr>
        <w:t xml:space="preserve"> 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Albright sindromo, osteopetrozės ir osteopoikilozės.</w:t>
      </w:r>
    </w:p>
    <w:p w14:paraId="39393A7B" w14:textId="0A2F39FD" w:rsidR="006F3787" w:rsidRPr="008A5765" w:rsidRDefault="006F3787" w:rsidP="008A576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A3B6951" w14:textId="77777777" w:rsidR="008A5765" w:rsidRPr="008A5765" w:rsidRDefault="006F3787" w:rsidP="008A576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8A5765"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>CNP provaistas arba jo farmaciniu požiūriu priimtina druska arba farmacinė kompozicija, skirt</w:t>
      </w:r>
      <w:r w:rsidR="007B11FB" w:rsidRPr="008A5765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8A5765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9 punktą, kur liga, kurią galima gydyti CNP, yra achondroplazija.</w:t>
      </w:r>
    </w:p>
    <w:sectPr w:rsidR="008A5765" w:rsidRPr="008A5765" w:rsidSect="008A576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16E9" w14:textId="77777777" w:rsidR="0083029A" w:rsidRDefault="0083029A" w:rsidP="00CC5C7D">
      <w:pPr>
        <w:spacing w:after="0" w:line="240" w:lineRule="auto"/>
      </w:pPr>
      <w:r>
        <w:separator/>
      </w:r>
    </w:p>
  </w:endnote>
  <w:endnote w:type="continuationSeparator" w:id="0">
    <w:p w14:paraId="6796D66D" w14:textId="77777777" w:rsidR="0083029A" w:rsidRDefault="0083029A" w:rsidP="00CC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CAF0" w14:textId="77777777" w:rsidR="0083029A" w:rsidRDefault="0083029A" w:rsidP="00CC5C7D">
      <w:pPr>
        <w:spacing w:after="0" w:line="240" w:lineRule="auto"/>
      </w:pPr>
      <w:r>
        <w:separator/>
      </w:r>
    </w:p>
  </w:footnote>
  <w:footnote w:type="continuationSeparator" w:id="0">
    <w:p w14:paraId="5418E2DE" w14:textId="77777777" w:rsidR="0083029A" w:rsidRDefault="0083029A" w:rsidP="00CC5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87"/>
    <w:rsid w:val="0007726E"/>
    <w:rsid w:val="00144642"/>
    <w:rsid w:val="003457B6"/>
    <w:rsid w:val="00384E04"/>
    <w:rsid w:val="00413FFE"/>
    <w:rsid w:val="004211E1"/>
    <w:rsid w:val="00432AE2"/>
    <w:rsid w:val="004D3D9A"/>
    <w:rsid w:val="0060395E"/>
    <w:rsid w:val="006052E2"/>
    <w:rsid w:val="00670090"/>
    <w:rsid w:val="006B2E97"/>
    <w:rsid w:val="006F3787"/>
    <w:rsid w:val="007B11FB"/>
    <w:rsid w:val="0083029A"/>
    <w:rsid w:val="00836942"/>
    <w:rsid w:val="008A5765"/>
    <w:rsid w:val="00C201F8"/>
    <w:rsid w:val="00C43DEF"/>
    <w:rsid w:val="00C71A54"/>
    <w:rsid w:val="00C85960"/>
    <w:rsid w:val="00C90DB5"/>
    <w:rsid w:val="00CA12CF"/>
    <w:rsid w:val="00CC5C7D"/>
    <w:rsid w:val="00E708A4"/>
    <w:rsid w:val="00E8004A"/>
    <w:rsid w:val="00F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9BF3D"/>
  <w15:chartTrackingRefBased/>
  <w15:docId w15:val="{4225C6AE-7F35-4B03-8A0E-3871D381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D3D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C5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7D"/>
  </w:style>
  <w:style w:type="paragraph" w:styleId="Footer">
    <w:name w:val="footer"/>
    <w:basedOn w:val="Normal"/>
    <w:link w:val="FooterChar"/>
    <w:uiPriority w:val="99"/>
    <w:unhideWhenUsed/>
    <w:rsid w:val="00CC5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2771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4</cp:revision>
  <dcterms:created xsi:type="dcterms:W3CDTF">2022-10-24T08:44:00Z</dcterms:created>
  <dcterms:modified xsi:type="dcterms:W3CDTF">2022-10-24T10:48:00Z</dcterms:modified>
</cp:coreProperties>
</file>