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BC92" w14:textId="2587BFF3" w:rsidR="00ED16C3" w:rsidRPr="003671E0" w:rsidRDefault="00DF0191" w:rsidP="003671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Skrandžio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vėžio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C7D09" w:rsidRPr="003671E0">
        <w:rPr>
          <w:rFonts w:ascii="Helvetica" w:eastAsia="Times New Roman" w:hAnsi="Helvetica" w:cs="Arial"/>
          <w:sz w:val="20"/>
          <w:szCs w:val="24"/>
          <w:lang w:eastAsia="lt-LT"/>
        </w:rPr>
        <w:t>metastazinių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vėži</w:t>
      </w:r>
      <w:r w:rsidR="000063BE" w:rsidRPr="003671E0">
        <w:rPr>
          <w:rFonts w:ascii="Helvetica" w:eastAsia="Times New Roman" w:hAnsi="Helvetica" w:cs="Arial"/>
          <w:sz w:val="20"/>
          <w:szCs w:val="24"/>
          <w:lang w:eastAsia="lt-LT"/>
        </w:rPr>
        <w:t>nių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ląstelių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aptikimo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būdas,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apimantis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mėginio,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gauto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Krukenbergo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naviko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mėginio,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gauto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limfmazgių,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kontrolinio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mėginio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kontaktavimą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antikūnu,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kuris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specifiškai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C244E" w:rsidRPr="003671E0">
        <w:rPr>
          <w:rFonts w:ascii="Helvetica" w:eastAsia="Times New Roman" w:hAnsi="Helvetica" w:cs="Arial"/>
          <w:sz w:val="20"/>
          <w:szCs w:val="24"/>
          <w:lang w:eastAsia="lt-LT"/>
        </w:rPr>
        <w:t>rišasi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C244E" w:rsidRPr="003671E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C244E" w:rsidRPr="003671E0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laudin</w:t>
      </w:r>
      <w:r w:rsidR="001C244E" w:rsidRPr="003671E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-18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1C244E" w:rsidRPr="003671E0">
        <w:rPr>
          <w:rFonts w:ascii="Helvetica" w:eastAsia="Times New Roman" w:hAnsi="Helvetica" w:cs="Arial"/>
          <w:sz w:val="20"/>
          <w:szCs w:val="24"/>
          <w:lang w:eastAsia="lt-LT"/>
        </w:rPr>
        <w:t>plaisingo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variant</w:t>
      </w:r>
      <w:r w:rsidR="001C244E" w:rsidRPr="003671E0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D16C3" w:rsidRPr="003671E0">
        <w:rPr>
          <w:rFonts w:ascii="Helvetica" w:eastAsia="Times New Roman" w:hAnsi="Helvetica" w:cs="Arial"/>
          <w:sz w:val="20"/>
          <w:szCs w:val="24"/>
          <w:lang w:eastAsia="lt-LT"/>
        </w:rPr>
        <w:t>2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(CLD18A2),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tokiomis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sąlygomis,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kurios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leidžia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susidaryti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kompleksui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tarp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antikūno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surišančios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C244E" w:rsidRPr="003671E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dalies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CLD18A2,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padidėjęs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komplekso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susidarymo</w:t>
      </w:r>
      <w:r w:rsidR="003671E0" w:rsidRPr="003671E0">
        <w:rPr>
          <w:rFonts w:ascii="Helvetica" w:hAnsi="Helvetica"/>
          <w:sz w:val="20"/>
        </w:rPr>
        <w:t xml:space="preserve"> </w:t>
      </w:r>
      <w:r w:rsidR="00ED16C3" w:rsidRPr="003671E0">
        <w:rPr>
          <w:rFonts w:ascii="Helvetica" w:eastAsia="Times New Roman" w:hAnsi="Helvetica" w:cs="Arial"/>
          <w:sz w:val="20"/>
          <w:szCs w:val="24"/>
          <w:lang w:eastAsia="lt-LT"/>
        </w:rPr>
        <w:t>lygis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D16C3" w:rsidRPr="003671E0">
        <w:rPr>
          <w:rFonts w:ascii="Helvetica" w:eastAsia="Times New Roman" w:hAnsi="Helvetica" w:cs="Arial"/>
          <w:sz w:val="20"/>
          <w:szCs w:val="24"/>
          <w:lang w:eastAsia="lt-LT"/>
        </w:rPr>
        <w:t>mėginyje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D16C3" w:rsidRPr="003671E0">
        <w:rPr>
          <w:rFonts w:ascii="Helvetica" w:eastAsia="Times New Roman" w:hAnsi="Helvetica" w:cs="Arial"/>
          <w:sz w:val="20"/>
          <w:szCs w:val="24"/>
          <w:lang w:eastAsia="lt-LT"/>
        </w:rPr>
        <w:t>rodo,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D16C3" w:rsidRPr="003671E0">
        <w:rPr>
          <w:rFonts w:ascii="Helvetica" w:eastAsia="Times New Roman" w:hAnsi="Helvetica" w:cs="Arial"/>
          <w:sz w:val="20"/>
          <w:szCs w:val="24"/>
          <w:lang w:eastAsia="lt-LT"/>
        </w:rPr>
        <w:t>kad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D16C3" w:rsidRPr="003671E0">
        <w:rPr>
          <w:rFonts w:ascii="Helvetica" w:eastAsia="Times New Roman" w:hAnsi="Helvetica" w:cs="Arial"/>
          <w:sz w:val="20"/>
          <w:szCs w:val="24"/>
          <w:lang w:eastAsia="lt-LT"/>
        </w:rPr>
        <w:t>mėginyje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D16C3" w:rsidRPr="003671E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C7D09" w:rsidRPr="003671E0">
        <w:rPr>
          <w:rFonts w:ascii="Helvetica" w:eastAsia="Times New Roman" w:hAnsi="Helvetica" w:cs="Arial"/>
          <w:sz w:val="20"/>
          <w:szCs w:val="24"/>
          <w:lang w:eastAsia="lt-LT"/>
        </w:rPr>
        <w:t>metastazinių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D16C3" w:rsidRPr="003671E0">
        <w:rPr>
          <w:rFonts w:ascii="Helvetica" w:eastAsia="Times New Roman" w:hAnsi="Helvetica" w:cs="Arial"/>
          <w:sz w:val="20"/>
          <w:szCs w:val="24"/>
          <w:lang w:eastAsia="lt-LT"/>
        </w:rPr>
        <w:t>ląstelių.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</w:p>
    <w:p w14:paraId="60FCF891" w14:textId="3460D3DA" w:rsidR="00DF0191" w:rsidRPr="003671E0" w:rsidRDefault="00DF0191" w:rsidP="003671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3D8B01C" w14:textId="2505BCCA" w:rsidR="00ED16C3" w:rsidRPr="003671E0" w:rsidRDefault="00DF0191" w:rsidP="003671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Būdas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1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C7D09" w:rsidRPr="003671E0">
        <w:rPr>
          <w:rFonts w:ascii="Helvetica" w:eastAsia="Times New Roman" w:hAnsi="Helvetica" w:cs="Arial"/>
          <w:sz w:val="20"/>
          <w:szCs w:val="24"/>
          <w:lang w:eastAsia="lt-LT"/>
        </w:rPr>
        <w:t>metastazinės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vėži</w:t>
      </w:r>
      <w:r w:rsidR="00ED16C3" w:rsidRPr="003671E0">
        <w:rPr>
          <w:rFonts w:ascii="Helvetica" w:eastAsia="Times New Roman" w:hAnsi="Helvetica" w:cs="Arial"/>
          <w:sz w:val="20"/>
          <w:szCs w:val="24"/>
          <w:lang w:eastAsia="lt-LT"/>
        </w:rPr>
        <w:t>nės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ląstelės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Krukenbergo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D16C3" w:rsidRPr="003671E0">
        <w:rPr>
          <w:rFonts w:ascii="Helvetica" w:eastAsia="Times New Roman" w:hAnsi="Helvetica" w:cs="Arial"/>
          <w:sz w:val="20"/>
          <w:szCs w:val="24"/>
          <w:lang w:eastAsia="lt-LT"/>
        </w:rPr>
        <w:t>naviko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D16C3" w:rsidRPr="003671E0">
        <w:rPr>
          <w:rFonts w:ascii="Helvetica" w:eastAsia="Times New Roman" w:hAnsi="Helvetica" w:cs="Arial"/>
          <w:sz w:val="20"/>
          <w:szCs w:val="24"/>
          <w:lang w:eastAsia="lt-LT"/>
        </w:rPr>
        <w:t>ląstelės.</w:t>
      </w:r>
    </w:p>
    <w:p w14:paraId="0AE90F6C" w14:textId="01AC3062" w:rsidR="00DF0191" w:rsidRPr="003671E0" w:rsidRDefault="00DF0191" w:rsidP="003671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A014F45" w14:textId="596EA2AE" w:rsidR="00224C1E" w:rsidRPr="003671E0" w:rsidRDefault="00DF0191" w:rsidP="003671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Farmacinė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kompozicija,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apimanti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antikūną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ir (arba)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konjugatą,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apimantį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minėtą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antikūną,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sujungtą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terapiniu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agentu,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farmaciniu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požiūriu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priimtiną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nešiklį,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24C1E" w:rsidRPr="003671E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36CE6" w:rsidRPr="003671E0">
        <w:rPr>
          <w:rFonts w:ascii="Helvetica" w:eastAsia="Times New Roman" w:hAnsi="Helvetica" w:cs="Arial"/>
          <w:sz w:val="20"/>
          <w:szCs w:val="24"/>
          <w:lang w:eastAsia="lt-LT"/>
        </w:rPr>
        <w:t>taikant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24C1E" w:rsidRPr="003671E0">
        <w:rPr>
          <w:rFonts w:ascii="Helvetica" w:eastAsia="Times New Roman" w:hAnsi="Helvetica" w:cs="Arial"/>
          <w:sz w:val="20"/>
          <w:szCs w:val="24"/>
          <w:lang w:eastAsia="lt-LT"/>
        </w:rPr>
        <w:t>skrandžio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24C1E" w:rsidRPr="003671E0">
        <w:rPr>
          <w:rFonts w:ascii="Helvetica" w:eastAsia="Times New Roman" w:hAnsi="Helvetica" w:cs="Arial"/>
          <w:sz w:val="20"/>
          <w:szCs w:val="24"/>
          <w:lang w:eastAsia="lt-LT"/>
        </w:rPr>
        <w:t>vėžio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24C1E" w:rsidRPr="003671E0">
        <w:rPr>
          <w:rFonts w:ascii="Helvetica" w:eastAsia="Times New Roman" w:hAnsi="Helvetica" w:cs="Arial"/>
          <w:sz w:val="20"/>
          <w:szCs w:val="24"/>
          <w:lang w:eastAsia="lt-LT"/>
        </w:rPr>
        <w:t>metastazių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24C1E" w:rsidRPr="003671E0">
        <w:rPr>
          <w:rFonts w:ascii="Helvetica" w:eastAsia="Times New Roman" w:hAnsi="Helvetica" w:cs="Arial"/>
          <w:sz w:val="20"/>
          <w:szCs w:val="24"/>
          <w:lang w:eastAsia="lt-LT"/>
        </w:rPr>
        <w:t>gydymo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36CE6" w:rsidRPr="003671E0">
        <w:rPr>
          <w:rFonts w:ascii="Helvetica" w:eastAsia="Times New Roman" w:hAnsi="Helvetica" w:cs="Arial"/>
          <w:sz w:val="20"/>
          <w:szCs w:val="24"/>
          <w:lang w:eastAsia="lt-LT"/>
        </w:rPr>
        <w:t>būdą</w:t>
      </w:r>
      <w:r w:rsidR="00224C1E" w:rsidRPr="003671E0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0F4AC3EA" w14:textId="05421398" w:rsidR="00893A95" w:rsidRPr="003671E0" w:rsidRDefault="00DF0191" w:rsidP="003671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minėtas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g</w:t>
      </w:r>
      <w:r w:rsidR="00224C1E" w:rsidRPr="003671E0">
        <w:rPr>
          <w:rFonts w:ascii="Helvetica" w:eastAsia="Times New Roman" w:hAnsi="Helvetica" w:cs="Arial"/>
          <w:sz w:val="20"/>
          <w:szCs w:val="24"/>
          <w:lang w:eastAsia="lt-LT"/>
        </w:rPr>
        <w:t>eba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24C1E" w:rsidRPr="003671E0">
        <w:rPr>
          <w:rFonts w:ascii="Helvetica" w:eastAsia="Times New Roman" w:hAnsi="Helvetica" w:cs="Arial"/>
          <w:sz w:val="20"/>
          <w:szCs w:val="24"/>
          <w:lang w:eastAsia="lt-LT"/>
        </w:rPr>
        <w:t>susirišti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24C1E" w:rsidRPr="003671E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CLD18A2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tarpininkauti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naikinant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ląsteles,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24C1E" w:rsidRPr="003671E0">
        <w:rPr>
          <w:rFonts w:ascii="Helvetica" w:eastAsia="Times New Roman" w:hAnsi="Helvetica" w:cs="Arial"/>
          <w:sz w:val="20"/>
          <w:szCs w:val="24"/>
          <w:lang w:eastAsia="lt-LT"/>
        </w:rPr>
        <w:t>vykd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ančias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CLD18A2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24C1E" w:rsidRPr="003671E0">
        <w:rPr>
          <w:rFonts w:ascii="Helvetica" w:eastAsia="Times New Roman" w:hAnsi="Helvetica" w:cs="Arial"/>
          <w:sz w:val="20"/>
          <w:szCs w:val="24"/>
          <w:lang w:eastAsia="lt-LT"/>
        </w:rPr>
        <w:t>raišką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sukel</w:t>
      </w:r>
      <w:r w:rsidR="00224C1E" w:rsidRPr="003671E0">
        <w:rPr>
          <w:rFonts w:ascii="Helvetica" w:eastAsia="Times New Roman" w:hAnsi="Helvetica" w:cs="Arial"/>
          <w:sz w:val="20"/>
          <w:szCs w:val="24"/>
          <w:lang w:eastAsia="lt-LT"/>
        </w:rPr>
        <w:t>damas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nuo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komplemento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priklausomo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citotoksiškumo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(CDC)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224C1E" w:rsidRPr="003671E0">
        <w:rPr>
          <w:rFonts w:ascii="Helvetica" w:eastAsia="Times New Roman" w:hAnsi="Helvetica" w:cs="Arial"/>
          <w:sz w:val="20"/>
          <w:szCs w:val="24"/>
          <w:lang w:eastAsia="lt-LT"/>
        </w:rPr>
        <w:t>ąlygot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liz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ę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nuo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antikūnų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priklausom</w:t>
      </w:r>
      <w:r w:rsidR="00224C1E" w:rsidRPr="003671E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ląsteli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nio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citotoksiškum</w:t>
      </w:r>
      <w:r w:rsidR="00224C1E" w:rsidRPr="003671E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(ADCC)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sąlygo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t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lizę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ir (arba) 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slopindamas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ląstelių,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vykdančių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CLD18A2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raišką,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proliferaciją.</w:t>
      </w:r>
    </w:p>
    <w:p w14:paraId="424AA42D" w14:textId="45C8DF71" w:rsidR="00DF0191" w:rsidRPr="003671E0" w:rsidRDefault="00DF0191" w:rsidP="003671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48926B8" w14:textId="38DB2334" w:rsidR="00893A95" w:rsidRPr="003671E0" w:rsidRDefault="00DF0191" w:rsidP="003671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Farmacinė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kompozicija,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3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minėtas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rišasi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Klaudino-18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splaisingo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variantu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1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(CLD18A1)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CLD18A2.</w:t>
      </w:r>
    </w:p>
    <w:p w14:paraId="5C9F288C" w14:textId="4630C29A" w:rsidR="00DF0191" w:rsidRPr="003671E0" w:rsidRDefault="00DF0191" w:rsidP="003671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0E37C8B" w14:textId="091D05E6" w:rsidR="00893A95" w:rsidRPr="003671E0" w:rsidRDefault="00DF0191" w:rsidP="003671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Farmacinė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kompozicija,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3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minėtas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rišasi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CLD18A2,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ne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93A95" w:rsidRPr="003671E0">
        <w:rPr>
          <w:rFonts w:ascii="Helvetica" w:eastAsia="Times New Roman" w:hAnsi="Helvetica" w:cs="Arial"/>
          <w:sz w:val="20"/>
          <w:szCs w:val="24"/>
          <w:lang w:eastAsia="lt-LT"/>
        </w:rPr>
        <w:t>CLD18A1.</w:t>
      </w:r>
    </w:p>
    <w:p w14:paraId="122DB9BD" w14:textId="57A6628A" w:rsidR="00DF0191" w:rsidRPr="003671E0" w:rsidRDefault="00DF0191" w:rsidP="003671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F3B47F2" w14:textId="5070A273" w:rsidR="00844370" w:rsidRPr="003671E0" w:rsidRDefault="00DF0191" w:rsidP="003671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Farmacinė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kompozicija,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3-5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minėtas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ląstelių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02220" w:rsidRPr="003671E0">
        <w:rPr>
          <w:rFonts w:ascii="Helvetica" w:eastAsia="Times New Roman" w:hAnsi="Helvetica" w:cs="Arial"/>
          <w:sz w:val="20"/>
          <w:szCs w:val="24"/>
          <w:lang w:eastAsia="lt-LT"/>
        </w:rPr>
        <w:t>naikini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ir (arba)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proliferacijos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slopinimas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sukeltas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minėto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antikūno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susirišimo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CLD18A2,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kurio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raišką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vykdo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minėtos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ląstelės.</w:t>
      </w:r>
    </w:p>
    <w:p w14:paraId="25A301F7" w14:textId="77777777" w:rsidR="003671E0" w:rsidRPr="003671E0" w:rsidRDefault="003671E0" w:rsidP="003671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D248DBB" w14:textId="02F570B0" w:rsidR="00844370" w:rsidRPr="003671E0" w:rsidRDefault="00DF0191" w:rsidP="003671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Farmacinė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kompozicija,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3-6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minėtas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ląstelių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naikini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ir (arba)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proliferacijos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slopinimas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nėra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sukeltas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minėto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antikūno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susirišimo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CLD18A1,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kurio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raišką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vykdo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minėtos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ląstelės.</w:t>
      </w:r>
    </w:p>
    <w:p w14:paraId="2E5E2DD4" w14:textId="77777777" w:rsidR="00844370" w:rsidRPr="003671E0" w:rsidRDefault="00844370" w:rsidP="003671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E10F142" w14:textId="4A00BEBE" w:rsidR="00844370" w:rsidRPr="003671E0" w:rsidRDefault="00DF0191" w:rsidP="003671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Farmacinė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kompozicija,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3-7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minėtas</w:t>
      </w:r>
      <w:r w:rsidR="003671E0" w:rsidRPr="003671E0">
        <w:rPr>
          <w:rFonts w:ascii="Helvetica" w:hAnsi="Helvetica"/>
          <w:sz w:val="20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nesukelia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CDC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sąlygo</w:t>
      </w:r>
      <w:r w:rsidR="00B40074" w:rsidRPr="003671E0">
        <w:rPr>
          <w:rFonts w:ascii="Helvetica" w:eastAsia="Times New Roman" w:hAnsi="Helvetica" w:cs="Arial"/>
          <w:sz w:val="20"/>
          <w:szCs w:val="24"/>
          <w:lang w:eastAsia="lt-LT"/>
        </w:rPr>
        <w:t>jamos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minėtų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ląstelių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4370" w:rsidRPr="003671E0">
        <w:rPr>
          <w:rFonts w:ascii="Helvetica" w:eastAsia="Times New Roman" w:hAnsi="Helvetica" w:cs="Arial"/>
          <w:sz w:val="20"/>
          <w:szCs w:val="24"/>
          <w:lang w:eastAsia="lt-LT"/>
        </w:rPr>
        <w:t>lizės.</w:t>
      </w:r>
    </w:p>
    <w:p w14:paraId="1B04699D" w14:textId="251F24BF" w:rsidR="00DF0191" w:rsidRPr="003671E0" w:rsidRDefault="00DF0191" w:rsidP="003671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F7A69B9" w14:textId="77777777" w:rsidR="003671E0" w:rsidRPr="003671E0" w:rsidRDefault="00DF0191" w:rsidP="003671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Farmacinė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kompozicija,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3-8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minėta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ADCC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sąlygo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jama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lizė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vyksta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dalyvaujant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efektorinėms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ląstelėms,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parinktoms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grupės,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susidedančios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monocitų,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36CE6" w:rsidRPr="003671E0">
        <w:rPr>
          <w:rFonts w:ascii="Helvetica" w:eastAsia="Times New Roman" w:hAnsi="Helvetica" w:cs="Arial"/>
          <w:sz w:val="20"/>
          <w:szCs w:val="24"/>
          <w:lang w:eastAsia="lt-LT"/>
        </w:rPr>
        <w:t>vienbranduolių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ląstelių,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NK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ląstelių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PMN.</w:t>
      </w:r>
    </w:p>
    <w:p w14:paraId="1D47EA23" w14:textId="77777777" w:rsidR="003671E0" w:rsidRPr="003671E0" w:rsidRDefault="003671E0" w:rsidP="003671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97058C7" w14:textId="2636BEF1" w:rsidR="00525183" w:rsidRPr="003671E0" w:rsidRDefault="00DF0191" w:rsidP="003671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Farmacinė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kompozicija,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3-9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minėtas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monokloninis,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chimerinis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humanizuotas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E36CE6" w:rsidRPr="003671E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surišantis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antikūno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fragmentas.</w:t>
      </w:r>
    </w:p>
    <w:p w14:paraId="560A90CD" w14:textId="36D17A58" w:rsidR="00DF0191" w:rsidRPr="003671E0" w:rsidRDefault="00DF0191" w:rsidP="003671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E61DF63" w14:textId="4ABE154F" w:rsidR="00525183" w:rsidRPr="003671E0" w:rsidRDefault="00DF0191" w:rsidP="003671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Farmacinė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kompozicija,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3-10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minėtas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parinktas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grupės,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susidedančios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IgG1,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IgG2,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IgG2a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IgG2b,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IgG3,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IgG4,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IgM,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IgA1,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IgA2,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sekrecinio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IgA,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IgD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IgE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antikūno.</w:t>
      </w:r>
    </w:p>
    <w:p w14:paraId="3BC3CDC7" w14:textId="1D4F5C56" w:rsidR="00DF0191" w:rsidRPr="003671E0" w:rsidRDefault="00DF0191" w:rsidP="003671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1BA2C06" w14:textId="11834BE2" w:rsidR="00525183" w:rsidRPr="003671E0" w:rsidRDefault="00DF0191" w:rsidP="003671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12.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Farmacinė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kompozicija,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3-11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CLD18A2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aminorūgščių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seka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73AB" w:rsidRPr="003671E0">
        <w:rPr>
          <w:rFonts w:ascii="Helvetica" w:eastAsia="Times New Roman" w:hAnsi="Helvetica" w:cs="Arial"/>
          <w:sz w:val="20"/>
          <w:szCs w:val="24"/>
          <w:lang w:eastAsia="lt-LT"/>
        </w:rPr>
        <w:t>nurodyta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2.</w:t>
      </w:r>
    </w:p>
    <w:p w14:paraId="605ACA71" w14:textId="77777777" w:rsidR="003671E0" w:rsidRPr="003671E0" w:rsidRDefault="003671E0" w:rsidP="003671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E37CF20" w14:textId="4659067D" w:rsidR="00525183" w:rsidRPr="003671E0" w:rsidRDefault="00DF0191" w:rsidP="003671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13.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Farmacinė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kompozicija,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4-12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CLD18A1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aminorūgščių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seka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73AB" w:rsidRPr="003671E0">
        <w:rPr>
          <w:rFonts w:ascii="Helvetica" w:eastAsia="Times New Roman" w:hAnsi="Helvetica" w:cs="Arial"/>
          <w:sz w:val="20"/>
          <w:szCs w:val="24"/>
          <w:lang w:eastAsia="lt-LT"/>
        </w:rPr>
        <w:t>nurodyta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5183" w:rsidRPr="003671E0">
        <w:rPr>
          <w:rFonts w:ascii="Helvetica" w:eastAsia="Times New Roman" w:hAnsi="Helvetica" w:cs="Arial"/>
          <w:sz w:val="20"/>
          <w:szCs w:val="24"/>
          <w:lang w:eastAsia="lt-LT"/>
        </w:rPr>
        <w:t>8.</w:t>
      </w:r>
    </w:p>
    <w:p w14:paraId="4ADB1F51" w14:textId="77777777" w:rsidR="003671E0" w:rsidRPr="003671E0" w:rsidRDefault="003671E0" w:rsidP="003671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E11DC82" w14:textId="4665CFA1" w:rsidR="00C673AB" w:rsidRPr="003671E0" w:rsidRDefault="00DF0191" w:rsidP="003671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14.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Farmacinė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kompozicija,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3-13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minėtas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73AB" w:rsidRPr="003671E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73AB" w:rsidRPr="003671E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73AB" w:rsidRPr="003671E0">
        <w:rPr>
          <w:rFonts w:ascii="Helvetica" w:eastAsia="Times New Roman" w:hAnsi="Helvetica" w:cs="Arial"/>
          <w:sz w:val="20"/>
          <w:szCs w:val="24"/>
          <w:lang w:eastAsia="lt-LT"/>
        </w:rPr>
        <w:t>specifinis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73AB" w:rsidRPr="003671E0">
        <w:rPr>
          <w:rFonts w:ascii="Helvetica" w:eastAsia="Times New Roman" w:hAnsi="Helvetica" w:cs="Arial"/>
          <w:sz w:val="20"/>
          <w:szCs w:val="24"/>
          <w:lang w:eastAsia="lt-LT"/>
        </w:rPr>
        <w:t>skrandžio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73AB" w:rsidRPr="003671E0">
        <w:rPr>
          <w:rFonts w:ascii="Helvetica" w:eastAsia="Times New Roman" w:hAnsi="Helvetica" w:cs="Arial"/>
          <w:sz w:val="20"/>
          <w:szCs w:val="24"/>
          <w:lang w:eastAsia="lt-LT"/>
        </w:rPr>
        <w:t>vėžio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73AB" w:rsidRPr="003671E0">
        <w:rPr>
          <w:rFonts w:ascii="Helvetica" w:eastAsia="Times New Roman" w:hAnsi="Helvetica" w:cs="Arial"/>
          <w:sz w:val="20"/>
          <w:szCs w:val="24"/>
          <w:lang w:eastAsia="lt-LT"/>
        </w:rPr>
        <w:t>ląstelėms.</w:t>
      </w:r>
    </w:p>
    <w:p w14:paraId="6B5C2852" w14:textId="77777777" w:rsidR="003671E0" w:rsidRPr="003671E0" w:rsidRDefault="003671E0" w:rsidP="003671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E4557EC" w14:textId="549ECE46" w:rsidR="00C673AB" w:rsidRPr="003671E0" w:rsidRDefault="00DF0191" w:rsidP="003671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15.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Farmacinė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kompozicija,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3-14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minėt</w:t>
      </w:r>
      <w:r w:rsidR="00C673AB" w:rsidRPr="003671E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73AB" w:rsidRPr="003671E0">
        <w:rPr>
          <w:rFonts w:ascii="Helvetica" w:eastAsia="Times New Roman" w:hAnsi="Helvetica" w:cs="Arial"/>
          <w:sz w:val="20"/>
          <w:szCs w:val="24"/>
          <w:lang w:eastAsia="lt-LT"/>
        </w:rPr>
        <w:t>CLD18A2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73AB" w:rsidRPr="003671E0">
        <w:rPr>
          <w:rFonts w:ascii="Helvetica" w:eastAsia="Times New Roman" w:hAnsi="Helvetica" w:cs="Arial"/>
          <w:sz w:val="20"/>
          <w:szCs w:val="24"/>
          <w:lang w:eastAsia="lt-LT"/>
        </w:rPr>
        <w:t>raiška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73AB" w:rsidRPr="003671E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73AB" w:rsidRPr="003671E0">
        <w:rPr>
          <w:rFonts w:ascii="Helvetica" w:eastAsia="Times New Roman" w:hAnsi="Helvetica" w:cs="Arial"/>
          <w:sz w:val="20"/>
          <w:szCs w:val="24"/>
          <w:lang w:eastAsia="lt-LT"/>
        </w:rPr>
        <w:t>vykdoma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73AB" w:rsidRPr="003671E0">
        <w:rPr>
          <w:rFonts w:ascii="Helvetica" w:eastAsia="Times New Roman" w:hAnsi="Helvetica" w:cs="Arial"/>
          <w:sz w:val="20"/>
          <w:szCs w:val="24"/>
          <w:lang w:eastAsia="lt-LT"/>
        </w:rPr>
        <w:t>minėtų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73AB" w:rsidRPr="003671E0">
        <w:rPr>
          <w:rFonts w:ascii="Helvetica" w:eastAsia="Times New Roman" w:hAnsi="Helvetica" w:cs="Arial"/>
          <w:sz w:val="20"/>
          <w:szCs w:val="24"/>
          <w:lang w:eastAsia="lt-LT"/>
        </w:rPr>
        <w:t>ląstelių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73AB" w:rsidRPr="003671E0">
        <w:rPr>
          <w:rFonts w:ascii="Helvetica" w:eastAsia="Times New Roman" w:hAnsi="Helvetica" w:cs="Arial"/>
          <w:sz w:val="20"/>
          <w:szCs w:val="24"/>
          <w:lang w:eastAsia="lt-LT"/>
        </w:rPr>
        <w:t>paviršiuje.</w:t>
      </w:r>
    </w:p>
    <w:p w14:paraId="248A5891" w14:textId="77777777" w:rsidR="003671E0" w:rsidRPr="003671E0" w:rsidRDefault="003671E0" w:rsidP="003671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21AF9CA" w14:textId="77777777" w:rsidR="003671E0" w:rsidRPr="003671E0" w:rsidRDefault="00DF0191" w:rsidP="003671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16.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Farmacinė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kompozicija,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apimanti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antikūną,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kuris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73AB" w:rsidRPr="003671E0">
        <w:rPr>
          <w:rFonts w:ascii="Helvetica" w:eastAsia="Times New Roman" w:hAnsi="Helvetica" w:cs="Arial"/>
          <w:sz w:val="20"/>
          <w:szCs w:val="24"/>
          <w:lang w:eastAsia="lt-LT"/>
        </w:rPr>
        <w:t>rišasi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73AB" w:rsidRPr="003671E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CLD18A2,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ir (arba)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konjugat</w:t>
      </w:r>
      <w:r w:rsidR="00C673AB" w:rsidRPr="003671E0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apiman</w:t>
      </w:r>
      <w:r w:rsidR="00C673AB" w:rsidRPr="003671E0">
        <w:rPr>
          <w:rFonts w:ascii="Helvetica" w:eastAsia="Times New Roman" w:hAnsi="Helvetica" w:cs="Arial"/>
          <w:sz w:val="20"/>
          <w:szCs w:val="24"/>
          <w:lang w:eastAsia="lt-LT"/>
        </w:rPr>
        <w:t>tį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minėtą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antikūną,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sujungtą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terapiniu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agentu,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farmaciniu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požiūriu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priimtiną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nešiklį,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36CE6" w:rsidRPr="003671E0">
        <w:rPr>
          <w:rFonts w:ascii="Helvetica" w:eastAsia="Times New Roman" w:hAnsi="Helvetica" w:cs="Arial"/>
          <w:sz w:val="20"/>
          <w:szCs w:val="24"/>
          <w:lang w:eastAsia="lt-LT"/>
        </w:rPr>
        <w:t>taikant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skrandžio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vėžio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metastazių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gydymo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36CE6" w:rsidRPr="003671E0">
        <w:rPr>
          <w:rFonts w:ascii="Helvetica" w:eastAsia="Times New Roman" w:hAnsi="Helvetica" w:cs="Arial"/>
          <w:sz w:val="20"/>
          <w:szCs w:val="24"/>
          <w:lang w:eastAsia="lt-LT"/>
        </w:rPr>
        <w:t>būdą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154AB368" w14:textId="12794A10" w:rsidR="001D42D6" w:rsidRPr="003671E0" w:rsidRDefault="00DF0191" w:rsidP="003671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minėtą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antikūną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gamina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klonas,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deponuotas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registracijos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DSM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ACC2737,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DSM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ACC2738,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DSM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ACC2739,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DSM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ACC2740,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DSM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ACC2741,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DSM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ACC2742,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DSM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ACC2743,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DSM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ACC2745,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DSM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ACC2746,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DSM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ACC2747,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DSM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ACC</w:t>
      </w:r>
      <w:r w:rsidR="00C673AB" w:rsidRPr="003671E0">
        <w:rPr>
          <w:rFonts w:ascii="Helvetica" w:eastAsia="Times New Roman" w:hAnsi="Helvetica" w:cs="Arial"/>
          <w:sz w:val="20"/>
          <w:szCs w:val="24"/>
          <w:lang w:eastAsia="lt-LT"/>
        </w:rPr>
        <w:t>274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8,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D42D6" w:rsidRPr="003671E0">
        <w:rPr>
          <w:rFonts w:ascii="Helvetica" w:eastAsia="Times New Roman" w:hAnsi="Helvetica" w:cs="Arial"/>
          <w:sz w:val="20"/>
          <w:szCs w:val="24"/>
          <w:lang w:eastAsia="lt-LT"/>
        </w:rPr>
        <w:t>ACC2808,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D42D6" w:rsidRPr="003671E0">
        <w:rPr>
          <w:rFonts w:ascii="Helvetica" w:eastAsia="Times New Roman" w:hAnsi="Helvetica" w:cs="Arial"/>
          <w:sz w:val="20"/>
          <w:szCs w:val="24"/>
          <w:lang w:eastAsia="lt-LT"/>
        </w:rPr>
        <w:t>DSM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D42D6" w:rsidRPr="003671E0">
        <w:rPr>
          <w:rFonts w:ascii="Helvetica" w:eastAsia="Times New Roman" w:hAnsi="Helvetica" w:cs="Arial"/>
          <w:sz w:val="20"/>
          <w:szCs w:val="24"/>
          <w:lang w:eastAsia="lt-LT"/>
        </w:rPr>
        <w:t>ACC2809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D42D6" w:rsidRPr="003671E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D42D6" w:rsidRPr="003671E0">
        <w:rPr>
          <w:rFonts w:ascii="Helvetica" w:eastAsia="Times New Roman" w:hAnsi="Helvetica" w:cs="Arial"/>
          <w:sz w:val="20"/>
          <w:szCs w:val="24"/>
          <w:lang w:eastAsia="lt-LT"/>
        </w:rPr>
        <w:t>DSM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D42D6" w:rsidRPr="003671E0">
        <w:rPr>
          <w:rFonts w:ascii="Helvetica" w:eastAsia="Times New Roman" w:hAnsi="Helvetica" w:cs="Arial"/>
          <w:sz w:val="20"/>
          <w:szCs w:val="24"/>
          <w:lang w:eastAsia="lt-LT"/>
        </w:rPr>
        <w:t>ACC2810.</w:t>
      </w:r>
    </w:p>
    <w:p w14:paraId="590DB010" w14:textId="77777777" w:rsidR="003671E0" w:rsidRPr="003671E0" w:rsidRDefault="003671E0" w:rsidP="003671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DD158DF" w14:textId="093F362A" w:rsidR="001D42D6" w:rsidRPr="003671E0" w:rsidRDefault="00DF0191" w:rsidP="003671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17.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Farmacinė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kompozicija,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3-16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minėtas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D42D6" w:rsidRPr="003671E0">
        <w:rPr>
          <w:rFonts w:ascii="Helvetica" w:eastAsia="Times New Roman" w:hAnsi="Helvetica" w:cs="Arial"/>
          <w:sz w:val="20"/>
          <w:szCs w:val="24"/>
          <w:lang w:eastAsia="lt-LT"/>
        </w:rPr>
        <w:t>terapinis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D42D6" w:rsidRPr="003671E0">
        <w:rPr>
          <w:rFonts w:ascii="Helvetica" w:eastAsia="Times New Roman" w:hAnsi="Helvetica" w:cs="Arial"/>
          <w:sz w:val="20"/>
          <w:szCs w:val="24"/>
          <w:lang w:eastAsia="lt-LT"/>
        </w:rPr>
        <w:t>agentas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D42D6" w:rsidRPr="003671E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D42D6" w:rsidRPr="003671E0">
        <w:rPr>
          <w:rFonts w:ascii="Helvetica" w:eastAsia="Times New Roman" w:hAnsi="Helvetica" w:cs="Arial"/>
          <w:sz w:val="20"/>
          <w:szCs w:val="24"/>
          <w:lang w:eastAsia="lt-LT"/>
        </w:rPr>
        <w:t>toksinas,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D42D6" w:rsidRPr="003671E0">
        <w:rPr>
          <w:rFonts w:ascii="Helvetica" w:eastAsia="Times New Roman" w:hAnsi="Helvetica" w:cs="Arial"/>
          <w:sz w:val="20"/>
          <w:szCs w:val="24"/>
          <w:lang w:eastAsia="lt-LT"/>
        </w:rPr>
        <w:t>radioizotopas,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D42D6" w:rsidRPr="003671E0">
        <w:rPr>
          <w:rFonts w:ascii="Helvetica" w:eastAsia="Times New Roman" w:hAnsi="Helvetica" w:cs="Arial"/>
          <w:sz w:val="20"/>
          <w:szCs w:val="24"/>
          <w:lang w:eastAsia="lt-LT"/>
        </w:rPr>
        <w:t>vaistas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D42D6" w:rsidRPr="003671E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D42D6" w:rsidRPr="003671E0">
        <w:rPr>
          <w:rFonts w:ascii="Helvetica" w:eastAsia="Times New Roman" w:hAnsi="Helvetica" w:cs="Arial"/>
          <w:sz w:val="20"/>
          <w:szCs w:val="24"/>
          <w:lang w:eastAsia="lt-LT"/>
        </w:rPr>
        <w:t>citotoksinis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D42D6" w:rsidRPr="003671E0">
        <w:rPr>
          <w:rFonts w:ascii="Helvetica" w:eastAsia="Times New Roman" w:hAnsi="Helvetica" w:cs="Arial"/>
          <w:sz w:val="20"/>
          <w:szCs w:val="24"/>
          <w:lang w:eastAsia="lt-LT"/>
        </w:rPr>
        <w:t>agentas.</w:t>
      </w:r>
    </w:p>
    <w:p w14:paraId="134B56C7" w14:textId="089604F8" w:rsidR="00DF0191" w:rsidRPr="003671E0" w:rsidRDefault="00DF0191" w:rsidP="003671E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C4CDC32" w14:textId="5A790797" w:rsidR="001D42D6" w:rsidRPr="003671E0" w:rsidRDefault="00DF0191" w:rsidP="003671E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18.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Farmacinė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kompozicija,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3-17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671E0">
        <w:rPr>
          <w:rFonts w:ascii="Helvetica" w:eastAsia="Times New Roman" w:hAnsi="Helvetica" w:cs="Arial"/>
          <w:sz w:val="20"/>
          <w:szCs w:val="24"/>
          <w:lang w:eastAsia="lt-LT"/>
        </w:rPr>
        <w:t>minėt</w:t>
      </w:r>
      <w:r w:rsidR="001D42D6" w:rsidRPr="003671E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D42D6" w:rsidRPr="003671E0">
        <w:rPr>
          <w:rFonts w:ascii="Helvetica" w:eastAsia="Times New Roman" w:hAnsi="Helvetica" w:cs="Arial"/>
          <w:sz w:val="20"/>
          <w:szCs w:val="24"/>
          <w:lang w:eastAsia="lt-LT"/>
        </w:rPr>
        <w:t>skrandžio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D42D6" w:rsidRPr="003671E0">
        <w:rPr>
          <w:rFonts w:ascii="Helvetica" w:eastAsia="Times New Roman" w:hAnsi="Helvetica" w:cs="Arial"/>
          <w:sz w:val="20"/>
          <w:szCs w:val="24"/>
          <w:lang w:eastAsia="lt-LT"/>
        </w:rPr>
        <w:t>vėžio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D42D6" w:rsidRPr="003671E0">
        <w:rPr>
          <w:rFonts w:ascii="Helvetica" w:eastAsia="Times New Roman" w:hAnsi="Helvetica" w:cs="Arial"/>
          <w:sz w:val="20"/>
          <w:szCs w:val="24"/>
          <w:lang w:eastAsia="lt-LT"/>
        </w:rPr>
        <w:t>metastazės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D42D6" w:rsidRPr="003671E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D42D6" w:rsidRPr="003671E0">
        <w:rPr>
          <w:rFonts w:ascii="Helvetica" w:eastAsia="Times New Roman" w:hAnsi="Helvetica" w:cs="Arial"/>
          <w:sz w:val="20"/>
          <w:szCs w:val="24"/>
          <w:lang w:eastAsia="lt-LT"/>
        </w:rPr>
        <w:t>metastazės</w:t>
      </w:r>
      <w:r w:rsidR="003671E0" w:rsidRPr="003671E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D42D6" w:rsidRPr="003671E0">
        <w:rPr>
          <w:rFonts w:ascii="Helvetica" w:eastAsia="Times New Roman" w:hAnsi="Helvetica" w:cs="Arial"/>
          <w:sz w:val="20"/>
          <w:szCs w:val="24"/>
          <w:lang w:eastAsia="lt-LT"/>
        </w:rPr>
        <w:t>limfmazgiuose.</w:t>
      </w:r>
    </w:p>
    <w:sectPr w:rsidR="001D42D6" w:rsidRPr="003671E0" w:rsidSect="003671E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81F0" w14:textId="77777777" w:rsidR="00435FFB" w:rsidRDefault="00435FFB" w:rsidP="00525934">
      <w:pPr>
        <w:spacing w:after="0" w:line="240" w:lineRule="auto"/>
      </w:pPr>
      <w:r>
        <w:separator/>
      </w:r>
    </w:p>
  </w:endnote>
  <w:endnote w:type="continuationSeparator" w:id="0">
    <w:p w14:paraId="59474736" w14:textId="77777777" w:rsidR="00435FFB" w:rsidRDefault="00435FFB" w:rsidP="0052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1A7B4" w14:textId="77777777" w:rsidR="00435FFB" w:rsidRDefault="00435FFB" w:rsidP="00525934">
      <w:pPr>
        <w:spacing w:after="0" w:line="240" w:lineRule="auto"/>
      </w:pPr>
      <w:r>
        <w:separator/>
      </w:r>
    </w:p>
  </w:footnote>
  <w:footnote w:type="continuationSeparator" w:id="0">
    <w:p w14:paraId="377A777F" w14:textId="77777777" w:rsidR="00435FFB" w:rsidRDefault="00435FFB" w:rsidP="005259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191"/>
    <w:rsid w:val="000063BE"/>
    <w:rsid w:val="001C244E"/>
    <w:rsid w:val="001D42D6"/>
    <w:rsid w:val="00224C1E"/>
    <w:rsid w:val="002263B3"/>
    <w:rsid w:val="00315EEB"/>
    <w:rsid w:val="003671E0"/>
    <w:rsid w:val="003E1043"/>
    <w:rsid w:val="003E2186"/>
    <w:rsid w:val="00435FFB"/>
    <w:rsid w:val="004A486F"/>
    <w:rsid w:val="00525183"/>
    <w:rsid w:val="00525934"/>
    <w:rsid w:val="00702220"/>
    <w:rsid w:val="00844370"/>
    <w:rsid w:val="00893A95"/>
    <w:rsid w:val="00B40074"/>
    <w:rsid w:val="00B87D4C"/>
    <w:rsid w:val="00C549B2"/>
    <w:rsid w:val="00C673AB"/>
    <w:rsid w:val="00CB2F1C"/>
    <w:rsid w:val="00CC1F75"/>
    <w:rsid w:val="00D64A10"/>
    <w:rsid w:val="00DF0191"/>
    <w:rsid w:val="00E12BBD"/>
    <w:rsid w:val="00E36CE6"/>
    <w:rsid w:val="00EC7D09"/>
    <w:rsid w:val="00ED16C3"/>
    <w:rsid w:val="00F8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D781D"/>
  <w15:chartTrackingRefBased/>
  <w15:docId w15:val="{5AE04A27-40AC-4B94-AF90-BBF9F0F7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6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934"/>
  </w:style>
  <w:style w:type="paragraph" w:styleId="Footer">
    <w:name w:val="footer"/>
    <w:basedOn w:val="Normal"/>
    <w:link w:val="FooterChar"/>
    <w:uiPriority w:val="99"/>
    <w:unhideWhenUsed/>
    <w:rsid w:val="00525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934"/>
  </w:style>
  <w:style w:type="paragraph" w:styleId="Revision">
    <w:name w:val="Revision"/>
    <w:hidden/>
    <w:uiPriority w:val="99"/>
    <w:semiHidden/>
    <w:rsid w:val="00EC7D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3487</Characters>
  <Application>Microsoft Office Word</Application>
  <DocSecurity>0</DocSecurity>
  <Lines>72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2023-03-03T08:09:00Z</dcterms:created>
  <dcterms:modified xsi:type="dcterms:W3CDTF">2023-03-03T08:09:00Z</dcterms:modified>
</cp:coreProperties>
</file>