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C593" w14:textId="14F641C3" w:rsidR="008314C5" w:rsidRPr="0045749B" w:rsidRDefault="00BA2E9F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Farmacinė kompozicija, apimanti 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bispecifinį</w:t>
      </w:r>
      <w:proofErr w:type="spellEnd"/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vienos grandinės antikūno konstruk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t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ą, 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besirišantį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prie tikslinio ląstelės paviršiaus antigeno CD19 arba CD33 per pirmąjį surišimo domeną ir prie T ląstelės paviršiaus antigeno CD3 per antrąjį surišimo domeną, kur 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bispecifin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is</w:t>
      </w:r>
      <w:proofErr w:type="spellEnd"/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vienos grandinės konstruk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tas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apima arba susideda iš 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polipeptid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kurio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aminorūgščių seką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pavaizduota SEQ ID Nr. 100 arba 174, β-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ciklodekstrin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ir bufer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į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, kur kompozicija sumažina arba 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užkerta kelią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baltymų agregat</w:t>
      </w:r>
      <w:r w:rsidR="00C262AA" w:rsidRPr="0045749B">
        <w:rPr>
          <w:rFonts w:ascii="Helvetica" w:hAnsi="Helvetica" w:cs="Helvetica"/>
          <w:sz w:val="20"/>
          <w:szCs w:val="24"/>
          <w:lang w:val="lt-LT"/>
        </w:rPr>
        <w:t>ų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(didelės molekulinės masės rūšys HMWS)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 xml:space="preserve"> susidarymui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>, ir kur β-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ciklodekstrinas</w:t>
      </w:r>
      <w:proofErr w:type="spellEnd"/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sulfobutil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e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>terio</w:t>
      </w:r>
      <w:proofErr w:type="spellEnd"/>
      <w:r w:rsidR="00ED1708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314C5" w:rsidRPr="0045749B">
        <w:rPr>
          <w:rFonts w:ascii="Helvetica" w:hAnsi="Helvetica" w:cs="Helvetica"/>
          <w:sz w:val="20"/>
          <w:szCs w:val="24"/>
          <w:lang w:val="lt-LT"/>
        </w:rPr>
        <w:t>β-</w:t>
      </w:r>
      <w:proofErr w:type="spellStart"/>
      <w:r w:rsidR="008314C5" w:rsidRPr="0045749B">
        <w:rPr>
          <w:rFonts w:ascii="Helvetica" w:hAnsi="Helvetica" w:cs="Helvetica"/>
          <w:sz w:val="20"/>
          <w:szCs w:val="24"/>
          <w:lang w:val="lt-LT"/>
        </w:rPr>
        <w:t>ciklodekstrino</w:t>
      </w:r>
      <w:proofErr w:type="spellEnd"/>
      <w:r w:rsidR="008314C5" w:rsidRPr="0045749B">
        <w:rPr>
          <w:rFonts w:ascii="Helvetica" w:hAnsi="Helvetica" w:cs="Helvetica"/>
          <w:sz w:val="20"/>
          <w:szCs w:val="24"/>
          <w:lang w:val="lt-LT"/>
        </w:rPr>
        <w:t xml:space="preserve"> natrio druska.</w:t>
      </w:r>
    </w:p>
    <w:p w14:paraId="64F5620E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EB5CED" w14:textId="07969888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2.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>Kompozicija pagal 1 punktą, kur β-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ciklodekstrino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koncentracija yra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ribose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nuo 0,1 % iki 20 % (m/t),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pageidautina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nuo 0,5 % iki 2 % (m/t)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,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307B3B" w:rsidRPr="0045749B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pageidautina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nuo 0,8 % iki 1,5 % (m/t).</w:t>
      </w:r>
    </w:p>
    <w:p w14:paraId="159B59F6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78AA2D" w14:textId="2F3C888E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3.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bet kurį iš ankstesnių punktų, kur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bispecifinio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vienos grandinės antikūno konstrukto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koncentracija yra ribose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0,1-5 mg/ml,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pageidautina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0,2-2,5 mg/ml, </w:t>
      </w:r>
      <w:r w:rsidR="00307B3B" w:rsidRPr="0045749B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pageidautina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0,25-1,0 mg/ml.</w:t>
      </w:r>
    </w:p>
    <w:p w14:paraId="10911B52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7BA8EF6" w14:textId="684BA6BB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4.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bet kurį iš ankstesnių punktų, kur buferis yra parinktas iš grupės, susidedančios iš kalio fosfato, acto rūgšties/natrio acetato, citrinos rūgšties/natrio citrato, gintaro rūgšties/natrio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sukcinato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vyno rūgšties/natrio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tartrato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histidino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/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histidino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HCl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>, glicin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o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, Tris,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glutamat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>, acetat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o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ir jų mišini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ų</w:t>
      </w:r>
      <w:r w:rsidRPr="0045749B">
        <w:rPr>
          <w:rFonts w:ascii="Helvetica" w:hAnsi="Helvetica" w:cs="Helvetica"/>
          <w:sz w:val="20"/>
          <w:szCs w:val="24"/>
          <w:lang w:val="lt-LT"/>
        </w:rPr>
        <w:t>.</w:t>
      </w:r>
    </w:p>
    <w:p w14:paraId="2FD091C0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EEAFAAB" w14:textId="3948508A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5.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4 punktą, kur buferis yra parinktas iš grupės, susidedančios iš kalio fosfato, citrinų rūgšties/natrio citrato, gintaro rūgšties,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histidino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glutamato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>, acetato ir jų derinių.</w:t>
      </w:r>
    </w:p>
    <w:p w14:paraId="65A6316D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590BA1D" w14:textId="0E8AA841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6.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>Kompozicija pagal bet kurį iš ankstesnių punktų, kur kompozicijos pH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 xml:space="preserve"> vertė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yra 4-7,5 intervale.</w:t>
      </w:r>
    </w:p>
    <w:p w14:paraId="315E1FAE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5F8488C" w14:textId="79C72835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7.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bet kurį iš ankstesnių punktų,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 xml:space="preserve">dar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apimanti vieną arba daugiau pagalbinių medžiagų, parinktų iš grupės, susidedančios iš sacharozės,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trehalozės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manitolio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sorbitolio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lizino,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20,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80,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poloksamero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188,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plurono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ir jų derinių.</w:t>
      </w:r>
    </w:p>
    <w:p w14:paraId="58B09067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297CF1" w14:textId="2EB3A7A3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8.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>Kompozicija pagal bet kurį iš ankstesnių punktų, kuri apima vieną arba daugiau konservantų.</w:t>
      </w:r>
    </w:p>
    <w:p w14:paraId="64D367E5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55D3FEC" w14:textId="770F00A0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9.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8 punktą, kur vienas arba 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daugiau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konservant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ų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yra parinkti iš grupės, susidedančios iš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benzilo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alkoholio,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chlorbutanolio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fenolio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>, meta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-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krezolio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metilparabeno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fenoksietanolio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propilparabeno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tiomero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s</w:t>
      </w:r>
      <w:r w:rsidRPr="0045749B">
        <w:rPr>
          <w:rFonts w:ascii="Helvetica" w:hAnsi="Helvetica" w:cs="Helvetica"/>
          <w:sz w:val="20"/>
          <w:szCs w:val="24"/>
          <w:lang w:val="lt-LT"/>
        </w:rPr>
        <w:t>alio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>.</w:t>
      </w:r>
    </w:p>
    <w:p w14:paraId="4BBEF4C1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D249C9" w14:textId="404F7186" w:rsidR="008314C5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10.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1 punktą, kur kompozicijoje nėra konservantų,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bispecifinio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vienos grandinės antikūno konstruk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to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aminorūgščių seka yra SEQ ID Nr. 100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,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ir konstrukto koncentracija yra 0,5 mg/ml,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ciklodekstrinas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sulfobutileteri</w:t>
      </w:r>
      <w:r w:rsidR="00ED1708" w:rsidRPr="0045749B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="00ED1708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>β-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ciklodekstrino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natrio druska, kurios koncentracija yra 1 % (m/t), buferis yra 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kalio fosfatas, kurio koncentracija yra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10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>ir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kompozicij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>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dar 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>apima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sacharozę, kurios koncentracija </w:t>
      </w:r>
      <w:r w:rsidRPr="0045749B">
        <w:rPr>
          <w:rFonts w:ascii="Helvetica" w:hAnsi="Helvetica" w:cs="Helvetica"/>
          <w:sz w:val="20"/>
          <w:szCs w:val="24"/>
          <w:lang w:val="lt-LT"/>
        </w:rPr>
        <w:t>8 % (m/t)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>,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="001867BC" w:rsidRPr="0045749B">
        <w:rPr>
          <w:rFonts w:ascii="Helvetica" w:hAnsi="Helvetica" w:cs="Helvetica"/>
          <w:sz w:val="20"/>
          <w:szCs w:val="24"/>
          <w:lang w:val="lt-LT"/>
        </w:rPr>
        <w:t>polisorbatą</w:t>
      </w:r>
      <w:proofErr w:type="spellEnd"/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 80</w:t>
      </w:r>
      <w:r w:rsidRPr="0045749B">
        <w:rPr>
          <w:rFonts w:ascii="Helvetica" w:hAnsi="Helvetica" w:cs="Helvetica"/>
          <w:sz w:val="20"/>
          <w:szCs w:val="24"/>
          <w:lang w:val="lt-LT"/>
        </w:rPr>
        <w:t>,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 kurio koncentracija 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>0,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01 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>% (m/t)</w:t>
      </w:r>
      <w:r w:rsidRPr="0045749B">
        <w:rPr>
          <w:rFonts w:ascii="Helvetica" w:hAnsi="Helvetica" w:cs="Helvetica"/>
          <w:sz w:val="20"/>
          <w:szCs w:val="24"/>
          <w:lang w:val="lt-LT"/>
        </w:rPr>
        <w:t>, kai pH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 vertė lygi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6,0.</w:t>
      </w:r>
    </w:p>
    <w:p w14:paraId="0444268F" w14:textId="77777777" w:rsidR="0025709A" w:rsidRPr="0045749B" w:rsidRDefault="0025709A" w:rsidP="0045749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77A93660" w:rsidR="00035E1E" w:rsidRPr="0045749B" w:rsidRDefault="008314C5" w:rsidP="0045749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5749B">
        <w:rPr>
          <w:rFonts w:ascii="Helvetica" w:hAnsi="Helvetica" w:cs="Helvetica"/>
          <w:sz w:val="20"/>
          <w:szCs w:val="24"/>
          <w:lang w:val="lt-LT"/>
        </w:rPr>
        <w:t>11.</w:t>
      </w:r>
      <w:r w:rsidR="0025709A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Kompozicija pagal 1 punktą, kur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bispecifinio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vienos grandinės antikūno konstruk</w:t>
      </w:r>
      <w:r w:rsidR="001867BC" w:rsidRPr="0045749B">
        <w:rPr>
          <w:rFonts w:ascii="Helvetica" w:hAnsi="Helvetica" w:cs="Helvetica"/>
          <w:sz w:val="20"/>
          <w:szCs w:val="24"/>
          <w:lang w:val="lt-LT"/>
        </w:rPr>
        <w:t>to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aminorūgščių seka yra SEQ ID Nr. 100, kur </w:t>
      </w:r>
      <w:proofErr w:type="spellStart"/>
      <w:r w:rsidR="001867BC" w:rsidRPr="0045749B">
        <w:rPr>
          <w:rFonts w:ascii="Helvetica" w:hAnsi="Helvetica" w:cs="Helvetica"/>
          <w:sz w:val="20"/>
          <w:szCs w:val="24"/>
          <w:lang w:val="lt-LT"/>
        </w:rPr>
        <w:t>ciklodekstrinas</w:t>
      </w:r>
      <w:proofErr w:type="spellEnd"/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="001867BC" w:rsidRPr="0045749B">
        <w:rPr>
          <w:rFonts w:ascii="Helvetica" w:hAnsi="Helvetica" w:cs="Helvetica"/>
          <w:sz w:val="20"/>
          <w:szCs w:val="24"/>
          <w:lang w:val="lt-LT"/>
        </w:rPr>
        <w:t>sulfobutileterio</w:t>
      </w:r>
      <w:proofErr w:type="spellEnd"/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 β-</w:t>
      </w:r>
      <w:proofErr w:type="spellStart"/>
      <w:r w:rsidR="001867BC" w:rsidRPr="0045749B">
        <w:rPr>
          <w:rFonts w:ascii="Helvetica" w:hAnsi="Helvetica" w:cs="Helvetica"/>
          <w:sz w:val="20"/>
          <w:szCs w:val="24"/>
          <w:lang w:val="lt-LT"/>
        </w:rPr>
        <w:t>ciklodekstrino</w:t>
      </w:r>
      <w:proofErr w:type="spellEnd"/>
      <w:r w:rsidR="001867BC" w:rsidRPr="0045749B">
        <w:rPr>
          <w:rFonts w:ascii="Helvetica" w:hAnsi="Helvetica" w:cs="Helvetica"/>
          <w:sz w:val="20"/>
          <w:szCs w:val="24"/>
          <w:lang w:val="lt-LT"/>
        </w:rPr>
        <w:t xml:space="preserve"> natrio druska, kurios koncentracija yra 1 % (m/t), buferis yra kalio fosfatas, kurio koncentracija yra 10 </w:t>
      </w:r>
      <w:proofErr w:type="spellStart"/>
      <w:r w:rsidR="001867BC" w:rsidRPr="0045749B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>ir kompozicija dar apima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manitol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>, kurio koncentracija yra 2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>%, sacharoz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>ę</w:t>
      </w:r>
      <w:r w:rsidRPr="0045749B">
        <w:rPr>
          <w:rFonts w:ascii="Helvetica" w:hAnsi="Helvetica" w:cs="Helvetica"/>
          <w:sz w:val="20"/>
          <w:szCs w:val="24"/>
          <w:lang w:val="lt-LT"/>
        </w:rPr>
        <w:t>, kurios koncentracija yra 2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%, ir </w:t>
      </w:r>
      <w:proofErr w:type="spellStart"/>
      <w:r w:rsidRPr="0045749B">
        <w:rPr>
          <w:rFonts w:ascii="Helvetica" w:hAnsi="Helvetica" w:cs="Helvetica"/>
          <w:sz w:val="20"/>
          <w:szCs w:val="24"/>
          <w:lang w:val="lt-LT"/>
        </w:rPr>
        <w:t>polisorbat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5749B">
        <w:rPr>
          <w:rFonts w:ascii="Helvetica" w:hAnsi="Helvetica" w:cs="Helvetica"/>
          <w:sz w:val="20"/>
          <w:szCs w:val="24"/>
          <w:lang w:val="lt-LT"/>
        </w:rPr>
        <w:t xml:space="preserve"> 80, kurio koncentracija yra 0,01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5749B">
        <w:rPr>
          <w:rFonts w:ascii="Helvetica" w:hAnsi="Helvetica" w:cs="Helvetica"/>
          <w:sz w:val="20"/>
          <w:szCs w:val="24"/>
          <w:lang w:val="lt-LT"/>
        </w:rPr>
        <w:t xml:space="preserve">%, </w:t>
      </w:r>
      <w:r w:rsidR="00242FAE" w:rsidRPr="0045749B">
        <w:rPr>
          <w:rFonts w:ascii="Helvetica" w:hAnsi="Helvetica" w:cs="Helvetica"/>
          <w:sz w:val="20"/>
          <w:szCs w:val="24"/>
          <w:lang w:val="lt-LT"/>
        </w:rPr>
        <w:t>kai pH vertė lygi 6</w:t>
      </w:r>
      <w:r w:rsidRPr="0045749B">
        <w:rPr>
          <w:rFonts w:ascii="Helvetica" w:hAnsi="Helvetica" w:cs="Helvetica"/>
          <w:sz w:val="20"/>
          <w:szCs w:val="24"/>
          <w:lang w:val="lt-LT"/>
        </w:rPr>
        <w:t>.</w:t>
      </w:r>
    </w:p>
    <w:sectPr w:rsidR="00035E1E" w:rsidRPr="0045749B" w:rsidSect="0045749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0793" w14:textId="77777777" w:rsidR="009E4C46" w:rsidRDefault="009E4C46" w:rsidP="007B0A41">
      <w:pPr>
        <w:spacing w:after="0" w:line="240" w:lineRule="auto"/>
      </w:pPr>
      <w:r>
        <w:separator/>
      </w:r>
    </w:p>
  </w:endnote>
  <w:endnote w:type="continuationSeparator" w:id="0">
    <w:p w14:paraId="23F8AE20" w14:textId="77777777" w:rsidR="009E4C46" w:rsidRDefault="009E4C4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C215" w14:textId="77777777" w:rsidR="009E4C46" w:rsidRDefault="009E4C46" w:rsidP="007B0A41">
      <w:pPr>
        <w:spacing w:after="0" w:line="240" w:lineRule="auto"/>
      </w:pPr>
      <w:r>
        <w:separator/>
      </w:r>
    </w:p>
  </w:footnote>
  <w:footnote w:type="continuationSeparator" w:id="0">
    <w:p w14:paraId="1D143B9A" w14:textId="77777777" w:rsidR="009E4C46" w:rsidRDefault="009E4C4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867BC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42FAE"/>
    <w:rsid w:val="0025675F"/>
    <w:rsid w:val="0025709A"/>
    <w:rsid w:val="00260D4E"/>
    <w:rsid w:val="00263A3E"/>
    <w:rsid w:val="00270962"/>
    <w:rsid w:val="002837FC"/>
    <w:rsid w:val="0029749A"/>
    <w:rsid w:val="002D21AE"/>
    <w:rsid w:val="00307B3B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749B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A7F91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34F9C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14C5"/>
    <w:rsid w:val="00837B1E"/>
    <w:rsid w:val="00843F06"/>
    <w:rsid w:val="00851ABA"/>
    <w:rsid w:val="008632E9"/>
    <w:rsid w:val="00864E7D"/>
    <w:rsid w:val="008650E7"/>
    <w:rsid w:val="00886FF4"/>
    <w:rsid w:val="008A7B6E"/>
    <w:rsid w:val="008B2C4A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0C43"/>
    <w:rsid w:val="0098532A"/>
    <w:rsid w:val="00992879"/>
    <w:rsid w:val="009B2E35"/>
    <w:rsid w:val="009B6C12"/>
    <w:rsid w:val="009C10C1"/>
    <w:rsid w:val="009D77D6"/>
    <w:rsid w:val="009E4C4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2A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2DB2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D1708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D7A9F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2797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2023-08-18T13:35:00Z</dcterms:created>
  <dcterms:modified xsi:type="dcterms:W3CDTF">2023-08-23T11:42:00Z</dcterms:modified>
</cp:coreProperties>
</file>