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7BD0" w14:textId="77777777" w:rsidR="000177DB" w:rsidRPr="000A530B" w:rsidRDefault="00BA2E9F" w:rsidP="000A5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 xml:space="preserve">1. </w:t>
      </w:r>
      <w:proofErr w:type="spellStart"/>
      <w:r w:rsidR="00191A60" w:rsidRPr="000A530B">
        <w:rPr>
          <w:rFonts w:ascii="Helvetica" w:hAnsi="Helvetica" w:cs="Arial"/>
          <w:sz w:val="20"/>
          <w:szCs w:val="24"/>
          <w:lang w:val="lt-LT"/>
        </w:rPr>
        <w:t>Viengrandis</w:t>
      </w:r>
      <w:proofErr w:type="spellEnd"/>
      <w:r w:rsidR="00191A60" w:rsidRPr="000A530B">
        <w:rPr>
          <w:rFonts w:ascii="Helvetica" w:hAnsi="Helvetica" w:cs="Arial"/>
          <w:sz w:val="20"/>
          <w:szCs w:val="24"/>
          <w:lang w:val="lt-LT"/>
        </w:rPr>
        <w:t xml:space="preserve"> antikūno konstruk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>tas</w:t>
      </w:r>
      <w:r w:rsidR="00191A60" w:rsidRPr="000A530B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>apimantis</w:t>
      </w:r>
      <w:r w:rsidR="00191A60" w:rsidRPr="000A530B">
        <w:rPr>
          <w:rFonts w:ascii="Helvetica" w:hAnsi="Helvetica" w:cs="Arial"/>
          <w:sz w:val="20"/>
          <w:szCs w:val="24"/>
          <w:lang w:val="lt-LT"/>
        </w:rPr>
        <w:t xml:space="preserve">: </w:t>
      </w:r>
    </w:p>
    <w:p w14:paraId="7684C748" w14:textId="77777777" w:rsidR="00191A60" w:rsidRPr="000A530B" w:rsidRDefault="00191A60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>• pirm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>ąjį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domen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>ą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>kuris rišasi prie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BCMA,</w:t>
      </w:r>
    </w:p>
    <w:p w14:paraId="5EDE0480" w14:textId="77777777" w:rsidR="00191A60" w:rsidRPr="000A530B" w:rsidRDefault="00191A60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>• antr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>ąjį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domen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>ą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, kuris 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>rišasi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prie žmogaus ir (arba) </w:t>
      </w:r>
      <w:proofErr w:type="spellStart"/>
      <w:r w:rsidRPr="000A530B">
        <w:rPr>
          <w:rFonts w:ascii="Helvetica" w:hAnsi="Helvetica" w:cs="Arial"/>
          <w:i/>
          <w:iCs/>
          <w:sz w:val="20"/>
          <w:szCs w:val="24"/>
          <w:lang w:val="lt-LT"/>
        </w:rPr>
        <w:t>Macaca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 xml:space="preserve"> CD3ε grandinės</w:t>
      </w:r>
      <w:r w:rsidR="00597C06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597C06" w:rsidRPr="000A530B">
        <w:rPr>
          <w:rFonts w:ascii="Helvetica" w:hAnsi="Helvetica" w:cs="Arial"/>
          <w:sz w:val="20"/>
          <w:szCs w:val="24"/>
          <w:lang w:val="lt-LT"/>
        </w:rPr>
        <w:t>ekstraląstelinio</w:t>
      </w:r>
      <w:proofErr w:type="spellEnd"/>
      <w:r w:rsidR="00597C06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597C06" w:rsidRPr="000A530B">
        <w:rPr>
          <w:rFonts w:ascii="Helvetica" w:hAnsi="Helvetica" w:cs="Arial"/>
          <w:sz w:val="20"/>
          <w:szCs w:val="24"/>
          <w:lang w:val="lt-LT"/>
        </w:rPr>
        <w:t>epitopo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>; ir</w:t>
      </w:r>
    </w:p>
    <w:p w14:paraId="065F7959" w14:textId="77777777" w:rsidR="00191A60" w:rsidRPr="000A530B" w:rsidRDefault="00191A60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>• treči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>ąjį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domen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>ą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 xml:space="preserve">kuris 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apima du </w:t>
      </w:r>
      <w:proofErr w:type="spellStart"/>
      <w:r w:rsidRPr="000A530B">
        <w:rPr>
          <w:rFonts w:ascii="Helvetica" w:hAnsi="Helvetica" w:cs="Arial"/>
          <w:sz w:val="20"/>
          <w:szCs w:val="24"/>
          <w:lang w:val="lt-LT"/>
        </w:rPr>
        <w:t>polipeptido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 xml:space="preserve"> monomerus, kurių kiekvienas 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>apima lankstą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, CH2 domeną ir CH3 domeną, kur minėti du </w:t>
      </w:r>
      <w:proofErr w:type="spellStart"/>
      <w:r w:rsidRPr="000A530B">
        <w:rPr>
          <w:rFonts w:ascii="Helvetica" w:hAnsi="Helvetica" w:cs="Arial"/>
          <w:sz w:val="20"/>
          <w:szCs w:val="24"/>
          <w:lang w:val="lt-LT"/>
        </w:rPr>
        <w:t>polipeptido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 xml:space="preserve"> monomerai yra sujungti vienas su kitu per peptidinį jung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>tuką</w:t>
      </w:r>
      <w:r w:rsidRPr="000A530B">
        <w:rPr>
          <w:rFonts w:ascii="Helvetica" w:hAnsi="Helvetica" w:cs="Arial"/>
          <w:sz w:val="20"/>
          <w:szCs w:val="24"/>
          <w:lang w:val="lt-LT"/>
        </w:rPr>
        <w:t>.</w:t>
      </w:r>
    </w:p>
    <w:p w14:paraId="17BEEC74" w14:textId="77777777" w:rsidR="000177DB" w:rsidRPr="000A530B" w:rsidRDefault="000177DB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281DC8F" w14:textId="77777777" w:rsidR="00983F46" w:rsidRPr="000A530B" w:rsidRDefault="00191A60" w:rsidP="000A5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>2.</w:t>
      </w:r>
      <w:r w:rsidR="000177DB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Antikūno 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>konstruktas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pagal 1 punktą, kur minėtas trečiasis domenas 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>apima,</w:t>
      </w:r>
      <w:r w:rsidR="00721A3A" w:rsidRPr="000A530B">
        <w:rPr>
          <w:rFonts w:ascii="Helvetica" w:hAnsi="Helvetica" w:cs="Arial"/>
          <w:sz w:val="20"/>
          <w:szCs w:val="24"/>
          <w:lang w:val="lt-LT"/>
        </w:rPr>
        <w:t xml:space="preserve"> pradedant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>amin</w:t>
      </w:r>
      <w:r w:rsidR="00721A3A" w:rsidRPr="000A530B">
        <w:rPr>
          <w:rFonts w:ascii="Helvetica" w:hAnsi="Helvetica" w:cs="Arial"/>
          <w:sz w:val="20"/>
          <w:szCs w:val="24"/>
          <w:lang w:val="lt-LT"/>
        </w:rPr>
        <w:t xml:space="preserve">u ir baigiant </w:t>
      </w:r>
      <w:proofErr w:type="spellStart"/>
      <w:r w:rsidRPr="000A530B">
        <w:rPr>
          <w:rFonts w:ascii="Helvetica" w:hAnsi="Helvetica" w:cs="Arial"/>
          <w:sz w:val="20"/>
          <w:szCs w:val="24"/>
          <w:lang w:val="lt-LT"/>
        </w:rPr>
        <w:t>karboksil</w:t>
      </w:r>
      <w:r w:rsidR="00721A3A" w:rsidRPr="000A530B">
        <w:rPr>
          <w:rFonts w:ascii="Helvetica" w:hAnsi="Helvetica" w:cs="Arial"/>
          <w:sz w:val="20"/>
          <w:szCs w:val="24"/>
          <w:lang w:val="lt-LT"/>
        </w:rPr>
        <w:t>u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 xml:space="preserve">: </w:t>
      </w:r>
    </w:p>
    <w:p w14:paraId="1AF71931" w14:textId="77777777" w:rsidR="00191A60" w:rsidRPr="000A530B" w:rsidRDefault="00721A3A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>lankstas</w:t>
      </w:r>
      <w:r w:rsidR="00191A60" w:rsidRPr="000A530B">
        <w:rPr>
          <w:rFonts w:ascii="Helvetica" w:hAnsi="Helvetica" w:cs="Arial"/>
          <w:sz w:val="20"/>
          <w:szCs w:val="24"/>
          <w:lang w:val="lt-LT"/>
        </w:rPr>
        <w:t>-CH2-CH3-jung</w:t>
      </w:r>
      <w:r w:rsidRPr="000A530B">
        <w:rPr>
          <w:rFonts w:ascii="Helvetica" w:hAnsi="Helvetica" w:cs="Arial"/>
          <w:sz w:val="20"/>
          <w:szCs w:val="24"/>
          <w:lang w:val="lt-LT"/>
        </w:rPr>
        <w:t>tukas</w:t>
      </w:r>
      <w:r w:rsidR="00191A60" w:rsidRPr="000A530B">
        <w:rPr>
          <w:rFonts w:ascii="Helvetica" w:hAnsi="Helvetica" w:cs="Arial"/>
          <w:sz w:val="20"/>
          <w:szCs w:val="24"/>
          <w:lang w:val="lt-LT"/>
        </w:rPr>
        <w:t>-</w:t>
      </w:r>
      <w:r w:rsidRPr="000A530B">
        <w:rPr>
          <w:rFonts w:ascii="Helvetica" w:hAnsi="Helvetica" w:cs="Arial"/>
          <w:sz w:val="20"/>
          <w:szCs w:val="24"/>
          <w:lang w:val="lt-LT"/>
        </w:rPr>
        <w:t>lankstas</w:t>
      </w:r>
      <w:r w:rsidR="00191A60" w:rsidRPr="000A530B">
        <w:rPr>
          <w:rFonts w:ascii="Helvetica" w:hAnsi="Helvetica" w:cs="Arial"/>
          <w:sz w:val="20"/>
          <w:szCs w:val="24"/>
          <w:lang w:val="lt-LT"/>
        </w:rPr>
        <w:t>-CH2-CH3.</w:t>
      </w:r>
    </w:p>
    <w:p w14:paraId="148E2BF8" w14:textId="77777777" w:rsidR="000177DB" w:rsidRPr="000A530B" w:rsidRDefault="000177DB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D39814B" w14:textId="77777777" w:rsidR="00191A60" w:rsidRPr="000A530B" w:rsidRDefault="00191A60" w:rsidP="000A5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>3.</w:t>
      </w:r>
      <w:r w:rsidR="000177DB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Antikūno 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>konstruktas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pagal 1 arba 2 punktą, kur kiekvien</w:t>
      </w:r>
      <w:r w:rsidR="00721A3A" w:rsidRPr="000A530B">
        <w:rPr>
          <w:rFonts w:ascii="Helvetica" w:hAnsi="Helvetica" w:cs="Arial"/>
          <w:sz w:val="20"/>
          <w:szCs w:val="24"/>
          <w:lang w:val="lt-LT"/>
        </w:rPr>
        <w:t>o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iš minėtų </w:t>
      </w:r>
      <w:proofErr w:type="spellStart"/>
      <w:r w:rsidRPr="000A530B">
        <w:rPr>
          <w:rFonts w:ascii="Helvetica" w:hAnsi="Helvetica" w:cs="Arial"/>
          <w:sz w:val="20"/>
          <w:szCs w:val="24"/>
          <w:lang w:val="lt-LT"/>
        </w:rPr>
        <w:t>polipeptido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 xml:space="preserve"> monomerų aminorūgščių seką yra mažiausiai 90 % identiška sekai, parinktai iš grupės, susidedančios iš SEQ ID N</w:t>
      </w:r>
      <w:r w:rsidR="00721A3A" w:rsidRPr="000A530B">
        <w:rPr>
          <w:rFonts w:ascii="Helvetica" w:hAnsi="Helvetica" w:cs="Arial"/>
          <w:sz w:val="20"/>
          <w:szCs w:val="24"/>
          <w:lang w:val="lt-LT"/>
        </w:rPr>
        <w:t>r.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17-24.</w:t>
      </w:r>
    </w:p>
    <w:p w14:paraId="1221D691" w14:textId="77777777" w:rsidR="000177DB" w:rsidRPr="000A530B" w:rsidRDefault="000177DB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731349F" w14:textId="77777777" w:rsidR="00191A60" w:rsidRPr="000A530B" w:rsidRDefault="00191A60" w:rsidP="000A5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>4.</w:t>
      </w:r>
      <w:r w:rsidR="000177DB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Antikūno 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>konstruktas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pagal bet kurį iš ankstesnių punktų, kur </w:t>
      </w:r>
      <w:r w:rsidR="00721A3A" w:rsidRPr="000A530B">
        <w:rPr>
          <w:rFonts w:ascii="Helvetica" w:hAnsi="Helvetica" w:cs="Arial"/>
          <w:sz w:val="20"/>
          <w:szCs w:val="24"/>
          <w:lang w:val="lt-LT"/>
        </w:rPr>
        <w:t xml:space="preserve">kiekvieno iš minėtų </w:t>
      </w:r>
      <w:proofErr w:type="spellStart"/>
      <w:r w:rsidR="00721A3A" w:rsidRPr="000A530B">
        <w:rPr>
          <w:rFonts w:ascii="Helvetica" w:hAnsi="Helvetica" w:cs="Arial"/>
          <w:sz w:val="20"/>
          <w:szCs w:val="24"/>
          <w:lang w:val="lt-LT"/>
        </w:rPr>
        <w:t>polipeptido</w:t>
      </w:r>
      <w:proofErr w:type="spellEnd"/>
      <w:r w:rsidR="00721A3A" w:rsidRPr="000A530B">
        <w:rPr>
          <w:rFonts w:ascii="Helvetica" w:hAnsi="Helvetica" w:cs="Arial"/>
          <w:sz w:val="20"/>
          <w:szCs w:val="24"/>
          <w:lang w:val="lt-LT"/>
        </w:rPr>
        <w:t xml:space="preserve"> monomerų aminorūgščių seką yra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parinkt</w:t>
      </w:r>
      <w:r w:rsidR="00721A3A" w:rsidRPr="000A530B">
        <w:rPr>
          <w:rFonts w:ascii="Helvetica" w:hAnsi="Helvetica" w:cs="Arial"/>
          <w:sz w:val="20"/>
          <w:szCs w:val="24"/>
          <w:lang w:val="lt-LT"/>
        </w:rPr>
        <w:t>a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iš grupės, susidedančios iš SEQ ID Nr. 17-24.</w:t>
      </w:r>
    </w:p>
    <w:p w14:paraId="75BC7739" w14:textId="77777777" w:rsidR="000177DB" w:rsidRPr="000A530B" w:rsidRDefault="000177DB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A36C023" w14:textId="77777777" w:rsidR="00191A60" w:rsidRPr="000A530B" w:rsidRDefault="00191A60" w:rsidP="000A5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>5.</w:t>
      </w:r>
      <w:r w:rsidR="000177DB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Antikūno 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>konstruktas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pagal bet kurį iš ankstesnių punktų, kur CH2 domenas apima </w:t>
      </w:r>
      <w:proofErr w:type="spellStart"/>
      <w:r w:rsidRPr="000A530B">
        <w:rPr>
          <w:rFonts w:ascii="Helvetica" w:hAnsi="Helvetica" w:cs="Arial"/>
          <w:sz w:val="20"/>
          <w:szCs w:val="24"/>
          <w:lang w:val="lt-LT"/>
        </w:rPr>
        <w:t>cisteino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0A530B">
        <w:rPr>
          <w:rFonts w:ascii="Helvetica" w:hAnsi="Helvetica" w:cs="Arial"/>
          <w:sz w:val="20"/>
          <w:szCs w:val="24"/>
          <w:lang w:val="lt-LT"/>
        </w:rPr>
        <w:t>disulfid</w:t>
      </w:r>
      <w:r w:rsidR="00721A3A" w:rsidRPr="000A530B">
        <w:rPr>
          <w:rFonts w:ascii="Helvetica" w:hAnsi="Helvetica" w:cs="Arial"/>
          <w:sz w:val="20"/>
          <w:szCs w:val="24"/>
          <w:lang w:val="lt-LT"/>
        </w:rPr>
        <w:t>inį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 xml:space="preserve"> tiltelį domene.</w:t>
      </w:r>
    </w:p>
    <w:p w14:paraId="0175F76E" w14:textId="77777777" w:rsidR="000177DB" w:rsidRPr="000A530B" w:rsidRDefault="000177DB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5A1DBFA" w14:textId="77777777" w:rsidR="00191A60" w:rsidRPr="000A530B" w:rsidRDefault="00191A60" w:rsidP="000A5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>6.</w:t>
      </w:r>
      <w:r w:rsidR="000177DB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Antikūno 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>konstruktas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pagal bet kurį iš ankstesnių punktų, kur</w:t>
      </w:r>
    </w:p>
    <w:p w14:paraId="4D80D552" w14:textId="77777777" w:rsidR="00191A60" w:rsidRPr="000A530B" w:rsidRDefault="00191A60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 xml:space="preserve">(i) pirmasis domenas apima du antikūno kintamus domenus, </w:t>
      </w:r>
      <w:r w:rsidR="00721A3A" w:rsidRPr="000A530B">
        <w:rPr>
          <w:rFonts w:ascii="Helvetica" w:hAnsi="Helvetica" w:cs="Arial"/>
          <w:sz w:val="20"/>
          <w:szCs w:val="24"/>
          <w:lang w:val="lt-LT"/>
        </w:rPr>
        <w:t>ir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antrasis domenas apima du antikūno kintamus domenus;</w:t>
      </w:r>
    </w:p>
    <w:p w14:paraId="6284856A" w14:textId="77777777" w:rsidR="00191A60" w:rsidRPr="000A530B" w:rsidRDefault="00191A60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 xml:space="preserve">(ii) pirmasis domenas apima vieną antikūno kintamą domeną, </w:t>
      </w:r>
      <w:r w:rsidR="00721A3A" w:rsidRPr="000A530B">
        <w:rPr>
          <w:rFonts w:ascii="Helvetica" w:hAnsi="Helvetica" w:cs="Arial"/>
          <w:sz w:val="20"/>
          <w:szCs w:val="24"/>
          <w:lang w:val="lt-LT"/>
        </w:rPr>
        <w:t>ir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antrasis domenas apima du antikūno kintamus domenus;</w:t>
      </w:r>
    </w:p>
    <w:p w14:paraId="10FF14C5" w14:textId="77777777" w:rsidR="00191A60" w:rsidRPr="000A530B" w:rsidRDefault="00191A60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 xml:space="preserve">(iii) pirmasis domenas apima du antikūno kintamus domenus, </w:t>
      </w:r>
      <w:r w:rsidR="00721A3A" w:rsidRPr="000A530B">
        <w:rPr>
          <w:rFonts w:ascii="Helvetica" w:hAnsi="Helvetica" w:cs="Arial"/>
          <w:sz w:val="20"/>
          <w:szCs w:val="24"/>
          <w:lang w:val="lt-LT"/>
        </w:rPr>
        <w:t>ir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antrasis domenas apima vieną antikūno kintamą domeną; arba</w:t>
      </w:r>
    </w:p>
    <w:p w14:paraId="24CC7434" w14:textId="77777777" w:rsidR="00191A60" w:rsidRPr="000A530B" w:rsidRDefault="00191A60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 xml:space="preserve">(iv) pirmasis domenas apima vieną antikūno kintamą domeną, </w:t>
      </w:r>
      <w:r w:rsidR="00721A3A" w:rsidRPr="000A530B">
        <w:rPr>
          <w:rFonts w:ascii="Helvetica" w:hAnsi="Helvetica" w:cs="Arial"/>
          <w:sz w:val="20"/>
          <w:szCs w:val="24"/>
          <w:lang w:val="lt-LT"/>
        </w:rPr>
        <w:t>ir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antrasis domenas apima vieną antikūno kintamą domeną.</w:t>
      </w:r>
    </w:p>
    <w:p w14:paraId="5292AFED" w14:textId="77777777" w:rsidR="000177DB" w:rsidRPr="000A530B" w:rsidRDefault="000177DB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0740A69" w14:textId="77777777" w:rsidR="00191A60" w:rsidRPr="000A530B" w:rsidRDefault="00191A60" w:rsidP="000A5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>7.</w:t>
      </w:r>
      <w:r w:rsidR="000177DB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Antikūno 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>konstruktas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pagal bet kurį iš ankstesnių punktų, kur pirmasis ir antrasis domenai yra su</w:t>
      </w:r>
      <w:r w:rsidR="00191B1C" w:rsidRPr="000A530B">
        <w:rPr>
          <w:rFonts w:ascii="Helvetica" w:hAnsi="Helvetica" w:cs="Arial"/>
          <w:sz w:val="20"/>
          <w:szCs w:val="24"/>
          <w:lang w:val="lt-LT"/>
        </w:rPr>
        <w:t>jungti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su trečiuoju domenu per peptidinį jung</w:t>
      </w:r>
      <w:r w:rsidR="00191B1C" w:rsidRPr="000A530B">
        <w:rPr>
          <w:rFonts w:ascii="Helvetica" w:hAnsi="Helvetica" w:cs="Arial"/>
          <w:sz w:val="20"/>
          <w:szCs w:val="24"/>
          <w:lang w:val="lt-LT"/>
        </w:rPr>
        <w:t>tuką</w:t>
      </w:r>
      <w:r w:rsidRPr="000A530B">
        <w:rPr>
          <w:rFonts w:ascii="Helvetica" w:hAnsi="Helvetica" w:cs="Arial"/>
          <w:sz w:val="20"/>
          <w:szCs w:val="24"/>
          <w:lang w:val="lt-LT"/>
        </w:rPr>
        <w:t>.</w:t>
      </w:r>
    </w:p>
    <w:p w14:paraId="5EC04CE3" w14:textId="77777777" w:rsidR="000177DB" w:rsidRPr="000A530B" w:rsidRDefault="000177DB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2528C24" w14:textId="77777777" w:rsidR="00191A60" w:rsidRPr="000A530B" w:rsidRDefault="00191A60" w:rsidP="000A5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>8.</w:t>
      </w:r>
      <w:r w:rsidR="000177DB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Antikūno 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>konstruktas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pagal bet kurį iš ankstesnių punktų, apimanti</w:t>
      </w:r>
      <w:r w:rsidR="0016460E" w:rsidRPr="000A530B">
        <w:rPr>
          <w:rFonts w:ascii="Helvetica" w:hAnsi="Helvetica" w:cs="Arial"/>
          <w:sz w:val="20"/>
          <w:szCs w:val="24"/>
          <w:lang w:val="lt-LT"/>
        </w:rPr>
        <w:t>s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191B1C" w:rsidRPr="000A530B">
        <w:rPr>
          <w:rFonts w:ascii="Helvetica" w:hAnsi="Helvetica" w:cs="Arial"/>
          <w:sz w:val="20"/>
          <w:szCs w:val="24"/>
          <w:lang w:val="lt-LT"/>
        </w:rPr>
        <w:t xml:space="preserve">pradedant aminu ir baigiant </w:t>
      </w:r>
      <w:proofErr w:type="spellStart"/>
      <w:r w:rsidR="00191B1C" w:rsidRPr="000A530B">
        <w:rPr>
          <w:rFonts w:ascii="Helvetica" w:hAnsi="Helvetica" w:cs="Arial"/>
          <w:sz w:val="20"/>
          <w:szCs w:val="24"/>
          <w:lang w:val="lt-LT"/>
        </w:rPr>
        <w:t>karboksilu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>:</w:t>
      </w:r>
    </w:p>
    <w:p w14:paraId="03D6F53B" w14:textId="77777777" w:rsidR="00191A60" w:rsidRPr="000A530B" w:rsidRDefault="00191A60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>a) pirm</w:t>
      </w:r>
      <w:r w:rsidR="00191B1C" w:rsidRPr="000A530B">
        <w:rPr>
          <w:rFonts w:ascii="Helvetica" w:hAnsi="Helvetica" w:cs="Arial"/>
          <w:sz w:val="20"/>
          <w:szCs w:val="24"/>
          <w:lang w:val="lt-LT"/>
        </w:rPr>
        <w:t>ąjį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domen</w:t>
      </w:r>
      <w:r w:rsidR="00191B1C" w:rsidRPr="000A530B">
        <w:rPr>
          <w:rFonts w:ascii="Helvetica" w:hAnsi="Helvetica" w:cs="Arial"/>
          <w:sz w:val="20"/>
          <w:szCs w:val="24"/>
          <w:lang w:val="lt-LT"/>
        </w:rPr>
        <w:t>ą</w:t>
      </w:r>
      <w:r w:rsidRPr="000A530B">
        <w:rPr>
          <w:rFonts w:ascii="Helvetica" w:hAnsi="Helvetica" w:cs="Arial"/>
          <w:sz w:val="20"/>
          <w:szCs w:val="24"/>
          <w:lang w:val="lt-LT"/>
        </w:rPr>
        <w:t>;</w:t>
      </w:r>
    </w:p>
    <w:p w14:paraId="688A9C17" w14:textId="77777777" w:rsidR="00191A60" w:rsidRPr="000A530B" w:rsidRDefault="00191A60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>(b) peptid</w:t>
      </w:r>
      <w:r w:rsidR="00191B1C" w:rsidRPr="000A530B">
        <w:rPr>
          <w:rFonts w:ascii="Helvetica" w:hAnsi="Helvetica" w:cs="Arial"/>
          <w:sz w:val="20"/>
          <w:szCs w:val="24"/>
          <w:lang w:val="lt-LT"/>
        </w:rPr>
        <w:t>inį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191B1C" w:rsidRPr="000A530B">
        <w:rPr>
          <w:rFonts w:ascii="Helvetica" w:hAnsi="Helvetica" w:cs="Arial"/>
          <w:sz w:val="20"/>
          <w:szCs w:val="24"/>
          <w:lang w:val="lt-LT"/>
        </w:rPr>
        <w:t>jungtuką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191B1C" w:rsidRPr="000A530B">
        <w:rPr>
          <w:rFonts w:ascii="Helvetica" w:hAnsi="Helvetica" w:cs="Arial"/>
          <w:sz w:val="20"/>
          <w:szCs w:val="24"/>
          <w:lang w:val="lt-LT"/>
        </w:rPr>
        <w:t>kurio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aminorūgščių sek</w:t>
      </w:r>
      <w:r w:rsidR="00191B1C" w:rsidRPr="000A530B">
        <w:rPr>
          <w:rFonts w:ascii="Helvetica" w:hAnsi="Helvetica" w:cs="Arial"/>
          <w:sz w:val="20"/>
          <w:szCs w:val="24"/>
          <w:lang w:val="lt-LT"/>
        </w:rPr>
        <w:t>a yra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parinktą iš grupės, susidedančios iš SEQ ID Nr. 1-3;</w:t>
      </w:r>
    </w:p>
    <w:p w14:paraId="28931F62" w14:textId="77777777" w:rsidR="00191A60" w:rsidRPr="000A530B" w:rsidRDefault="00191A60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>c) antr</w:t>
      </w:r>
      <w:r w:rsidR="00191B1C" w:rsidRPr="000A530B">
        <w:rPr>
          <w:rFonts w:ascii="Helvetica" w:hAnsi="Helvetica" w:cs="Arial"/>
          <w:sz w:val="20"/>
          <w:szCs w:val="24"/>
          <w:lang w:val="lt-LT"/>
        </w:rPr>
        <w:t>ąjį domeną</w:t>
      </w:r>
      <w:r w:rsidRPr="000A530B">
        <w:rPr>
          <w:rFonts w:ascii="Helvetica" w:hAnsi="Helvetica" w:cs="Arial"/>
          <w:sz w:val="20"/>
          <w:szCs w:val="24"/>
          <w:lang w:val="lt-LT"/>
        </w:rPr>
        <w:t>;</w:t>
      </w:r>
    </w:p>
    <w:p w14:paraId="2F27C433" w14:textId="77777777" w:rsidR="00191A60" w:rsidRPr="000A530B" w:rsidRDefault="00191A60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 xml:space="preserve">(d) </w:t>
      </w:r>
      <w:r w:rsidR="00191B1C" w:rsidRPr="000A530B">
        <w:rPr>
          <w:rFonts w:ascii="Helvetica" w:hAnsi="Helvetica" w:cs="Arial"/>
          <w:sz w:val="20"/>
          <w:szCs w:val="24"/>
          <w:lang w:val="lt-LT"/>
        </w:rPr>
        <w:t>peptidinį jungtuką, kurio aminorūgščių seka yra parinktą iš grupės, susidedančios iš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SEQ ID Nr.: 1, 2, 3, 9, 10, 11 ir 12;</w:t>
      </w:r>
    </w:p>
    <w:p w14:paraId="239EAAF3" w14:textId="77777777" w:rsidR="00191A60" w:rsidRPr="000A530B" w:rsidRDefault="00191A60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 xml:space="preserve">(e) trečiojo domeno </w:t>
      </w:r>
      <w:r w:rsidR="00191B1C" w:rsidRPr="000A530B">
        <w:rPr>
          <w:rFonts w:ascii="Helvetica" w:hAnsi="Helvetica" w:cs="Arial"/>
          <w:sz w:val="20"/>
          <w:szCs w:val="24"/>
          <w:lang w:val="lt-LT"/>
        </w:rPr>
        <w:t>pirmąjį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0A530B">
        <w:rPr>
          <w:rFonts w:ascii="Helvetica" w:hAnsi="Helvetica" w:cs="Arial"/>
          <w:sz w:val="20"/>
          <w:szCs w:val="24"/>
          <w:lang w:val="lt-LT"/>
        </w:rPr>
        <w:t>polipeptido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 xml:space="preserve"> monomer</w:t>
      </w:r>
      <w:r w:rsidR="00191B1C" w:rsidRPr="000A530B">
        <w:rPr>
          <w:rFonts w:ascii="Helvetica" w:hAnsi="Helvetica" w:cs="Arial"/>
          <w:sz w:val="20"/>
          <w:szCs w:val="24"/>
          <w:lang w:val="lt-LT"/>
        </w:rPr>
        <w:t>ą</w:t>
      </w:r>
      <w:r w:rsidRPr="000A530B">
        <w:rPr>
          <w:rFonts w:ascii="Helvetica" w:hAnsi="Helvetica" w:cs="Arial"/>
          <w:sz w:val="20"/>
          <w:szCs w:val="24"/>
          <w:lang w:val="lt-LT"/>
        </w:rPr>
        <w:t>;</w:t>
      </w:r>
    </w:p>
    <w:p w14:paraId="1910FEA0" w14:textId="77777777" w:rsidR="00191A60" w:rsidRPr="000A530B" w:rsidRDefault="00191A60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 xml:space="preserve">(f) </w:t>
      </w:r>
      <w:r w:rsidR="00191B1C" w:rsidRPr="000A530B">
        <w:rPr>
          <w:rFonts w:ascii="Helvetica" w:hAnsi="Helvetica" w:cs="Arial"/>
          <w:sz w:val="20"/>
          <w:szCs w:val="24"/>
          <w:lang w:val="lt-LT"/>
        </w:rPr>
        <w:t>peptidinį jungtuką, kurio aminorūgščių seka yra parinktą iš grupės, susidedančios iš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SEQ ID Nr. 5, 6, 7 ir 8; ir</w:t>
      </w:r>
    </w:p>
    <w:p w14:paraId="3C050B81" w14:textId="77777777" w:rsidR="00191A60" w:rsidRPr="000A530B" w:rsidRDefault="00191A60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 xml:space="preserve">(g) trečiojo domeno </w:t>
      </w:r>
      <w:r w:rsidR="00191B1C" w:rsidRPr="000A530B">
        <w:rPr>
          <w:rFonts w:ascii="Helvetica" w:hAnsi="Helvetica" w:cs="Arial"/>
          <w:sz w:val="20"/>
          <w:szCs w:val="24"/>
          <w:lang w:val="lt-LT"/>
        </w:rPr>
        <w:t>antrąjį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0A530B">
        <w:rPr>
          <w:rFonts w:ascii="Helvetica" w:hAnsi="Helvetica" w:cs="Arial"/>
          <w:sz w:val="20"/>
          <w:szCs w:val="24"/>
          <w:lang w:val="lt-LT"/>
        </w:rPr>
        <w:t>polipeptido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 xml:space="preserve"> monomer</w:t>
      </w:r>
      <w:r w:rsidR="0016460E" w:rsidRPr="000A530B">
        <w:rPr>
          <w:rFonts w:ascii="Helvetica" w:hAnsi="Helvetica" w:cs="Arial"/>
          <w:sz w:val="20"/>
          <w:szCs w:val="24"/>
          <w:lang w:val="lt-LT"/>
        </w:rPr>
        <w:t>ą</w:t>
      </w:r>
      <w:r w:rsidRPr="000A530B">
        <w:rPr>
          <w:rFonts w:ascii="Helvetica" w:hAnsi="Helvetica" w:cs="Arial"/>
          <w:sz w:val="20"/>
          <w:szCs w:val="24"/>
          <w:lang w:val="lt-LT"/>
        </w:rPr>
        <w:t>.</w:t>
      </w:r>
    </w:p>
    <w:p w14:paraId="2897235D" w14:textId="77777777" w:rsidR="000177DB" w:rsidRPr="000A530B" w:rsidRDefault="000177DB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93475E9" w14:textId="77777777" w:rsidR="00191A60" w:rsidRPr="000A530B" w:rsidRDefault="00191A60" w:rsidP="000A5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>9.</w:t>
      </w:r>
      <w:r w:rsidR="000177DB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Antikūno 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>konstruktas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pagal bet kurį iš ankstesnių punktų, </w:t>
      </w:r>
      <w:r w:rsidR="0016460E" w:rsidRPr="000A530B">
        <w:rPr>
          <w:rFonts w:ascii="Helvetica" w:hAnsi="Helvetica" w:cs="Arial"/>
          <w:sz w:val="20"/>
          <w:szCs w:val="24"/>
          <w:lang w:val="lt-LT"/>
        </w:rPr>
        <w:t xml:space="preserve">apimantis pradedant aminu ir baigiant </w:t>
      </w:r>
      <w:proofErr w:type="spellStart"/>
      <w:r w:rsidR="0016460E" w:rsidRPr="000A530B">
        <w:rPr>
          <w:rFonts w:ascii="Helvetica" w:hAnsi="Helvetica" w:cs="Arial"/>
          <w:sz w:val="20"/>
          <w:szCs w:val="24"/>
          <w:lang w:val="lt-LT"/>
        </w:rPr>
        <w:t>karboksilu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>:</w:t>
      </w:r>
    </w:p>
    <w:p w14:paraId="7C9C3E49" w14:textId="77777777" w:rsidR="00191A60" w:rsidRPr="000A530B" w:rsidRDefault="00191A60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 xml:space="preserve">(a) </w:t>
      </w:r>
      <w:r w:rsidR="0016460E" w:rsidRPr="000A530B">
        <w:rPr>
          <w:rFonts w:ascii="Helvetica" w:hAnsi="Helvetica" w:cs="Arial"/>
          <w:sz w:val="20"/>
          <w:szCs w:val="24"/>
          <w:lang w:val="lt-LT"/>
        </w:rPr>
        <w:t>pirmąjį domeną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16460E" w:rsidRPr="000A530B">
        <w:rPr>
          <w:rFonts w:ascii="Helvetica" w:hAnsi="Helvetica" w:cs="Arial"/>
          <w:sz w:val="20"/>
          <w:szCs w:val="24"/>
          <w:lang w:val="lt-LT"/>
        </w:rPr>
        <w:t>kurio aminorūgščių seka yra parinktą iš grupės, susidedančios iš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SEQ ID Nr. 53, 59, 71, 77, 89 arba 95;</w:t>
      </w:r>
    </w:p>
    <w:p w14:paraId="110E8423" w14:textId="77777777" w:rsidR="00191A60" w:rsidRPr="000A530B" w:rsidRDefault="00191A60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 xml:space="preserve">(b) </w:t>
      </w:r>
      <w:r w:rsidR="0016460E" w:rsidRPr="000A530B">
        <w:rPr>
          <w:rFonts w:ascii="Helvetica" w:hAnsi="Helvetica" w:cs="Arial"/>
          <w:sz w:val="20"/>
          <w:szCs w:val="24"/>
          <w:lang w:val="lt-LT"/>
        </w:rPr>
        <w:t>peptidinį jungtuką, kurio aminorūgščių seka yra parinktą iš grupės, susidedančios iš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SEQ ID Nr. 1-3;</w:t>
      </w:r>
    </w:p>
    <w:p w14:paraId="74EFF1E0" w14:textId="77777777" w:rsidR="00191A60" w:rsidRPr="000A530B" w:rsidRDefault="00191A60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 xml:space="preserve">(c) </w:t>
      </w:r>
      <w:r w:rsidR="0016460E" w:rsidRPr="000A530B">
        <w:rPr>
          <w:rFonts w:ascii="Helvetica" w:hAnsi="Helvetica" w:cs="Arial"/>
          <w:sz w:val="20"/>
          <w:szCs w:val="24"/>
          <w:lang w:val="lt-LT"/>
        </w:rPr>
        <w:t>antrąjį domeną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16460E" w:rsidRPr="000A530B">
        <w:rPr>
          <w:rFonts w:ascii="Helvetica" w:hAnsi="Helvetica" w:cs="Arial"/>
          <w:sz w:val="20"/>
          <w:szCs w:val="24"/>
          <w:lang w:val="lt-LT"/>
        </w:rPr>
        <w:t>kurio aminorūgščių seka yra parinktą iš grupės, susidedančios iš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SEQ ID Nr. 110, 111, 112, 113, 114, 115, 116, 117, 118, 119, 120, 121, 122, 123, 124 125, 126, 127, 128 arba 129 arba SEQ ID Nr. 15;</w:t>
      </w:r>
    </w:p>
    <w:p w14:paraId="341F234D" w14:textId="77777777" w:rsidR="00191A60" w:rsidRPr="000A530B" w:rsidRDefault="00191A60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 xml:space="preserve">(d) </w:t>
      </w:r>
      <w:r w:rsidR="0016460E" w:rsidRPr="000A530B">
        <w:rPr>
          <w:rFonts w:ascii="Helvetica" w:hAnsi="Helvetica" w:cs="Arial"/>
          <w:sz w:val="20"/>
          <w:szCs w:val="24"/>
          <w:lang w:val="lt-LT"/>
        </w:rPr>
        <w:t>peptidinį jungtuką, kurio aminorūgščių seka yra parinktą iš grupės, susidedančios iš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SEQ ID Nr. 1, 2, 3, 9, 10, 11 ir 12;</w:t>
      </w:r>
    </w:p>
    <w:p w14:paraId="2999FD71" w14:textId="77777777" w:rsidR="00191A60" w:rsidRPr="000A530B" w:rsidRDefault="00191A60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 xml:space="preserve">(e) </w:t>
      </w:r>
      <w:r w:rsidR="0016460E" w:rsidRPr="000A530B">
        <w:rPr>
          <w:rFonts w:ascii="Helvetica" w:hAnsi="Helvetica" w:cs="Arial"/>
          <w:sz w:val="20"/>
          <w:szCs w:val="24"/>
          <w:lang w:val="lt-LT"/>
        </w:rPr>
        <w:t xml:space="preserve">trečiojo domeno pirmąjį </w:t>
      </w:r>
      <w:proofErr w:type="spellStart"/>
      <w:r w:rsidR="0016460E" w:rsidRPr="000A530B">
        <w:rPr>
          <w:rFonts w:ascii="Helvetica" w:hAnsi="Helvetica" w:cs="Arial"/>
          <w:sz w:val="20"/>
          <w:szCs w:val="24"/>
          <w:lang w:val="lt-LT"/>
        </w:rPr>
        <w:t>polipeptido</w:t>
      </w:r>
      <w:proofErr w:type="spellEnd"/>
      <w:r w:rsidR="0016460E" w:rsidRPr="000A530B">
        <w:rPr>
          <w:rFonts w:ascii="Helvetica" w:hAnsi="Helvetica" w:cs="Arial"/>
          <w:sz w:val="20"/>
          <w:szCs w:val="24"/>
          <w:lang w:val="lt-LT"/>
        </w:rPr>
        <w:t xml:space="preserve"> monomerą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627234" w:rsidRPr="000A530B">
        <w:rPr>
          <w:rFonts w:ascii="Helvetica" w:hAnsi="Helvetica" w:cs="Arial"/>
          <w:sz w:val="20"/>
          <w:szCs w:val="24"/>
          <w:lang w:val="lt-LT"/>
        </w:rPr>
        <w:t>kurio aminorūgščių seka yra parinktą iš grupės, susidedančios iš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SEQ ID Nr. 17-24;</w:t>
      </w:r>
    </w:p>
    <w:p w14:paraId="139CA1EF" w14:textId="77777777" w:rsidR="00191A60" w:rsidRPr="000A530B" w:rsidRDefault="00191A60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 xml:space="preserve">(f) </w:t>
      </w:r>
      <w:r w:rsidR="0016460E" w:rsidRPr="000A530B">
        <w:rPr>
          <w:rFonts w:ascii="Helvetica" w:hAnsi="Helvetica" w:cs="Arial"/>
          <w:sz w:val="20"/>
          <w:szCs w:val="24"/>
          <w:lang w:val="lt-LT"/>
        </w:rPr>
        <w:t>peptidinį jungtuką, kurio aminorūgščių seka yra parinktą iš grupės, susidedančios iš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SEQ ID Nr. 5, 6, 7 ir 8; ir</w:t>
      </w:r>
    </w:p>
    <w:p w14:paraId="7AFD050B" w14:textId="77777777" w:rsidR="00191A60" w:rsidRPr="000A530B" w:rsidRDefault="00191A60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 xml:space="preserve">(g) </w:t>
      </w:r>
      <w:r w:rsidR="0016460E" w:rsidRPr="000A530B">
        <w:rPr>
          <w:rFonts w:ascii="Helvetica" w:hAnsi="Helvetica" w:cs="Arial"/>
          <w:sz w:val="20"/>
          <w:szCs w:val="24"/>
          <w:lang w:val="lt-LT"/>
        </w:rPr>
        <w:t xml:space="preserve">trečiojo domeno antrąjį </w:t>
      </w:r>
      <w:proofErr w:type="spellStart"/>
      <w:r w:rsidR="0016460E" w:rsidRPr="000A530B">
        <w:rPr>
          <w:rFonts w:ascii="Helvetica" w:hAnsi="Helvetica" w:cs="Arial"/>
          <w:sz w:val="20"/>
          <w:szCs w:val="24"/>
          <w:lang w:val="lt-LT"/>
        </w:rPr>
        <w:t>polipeptido</w:t>
      </w:r>
      <w:proofErr w:type="spellEnd"/>
      <w:r w:rsidR="0016460E" w:rsidRPr="000A530B">
        <w:rPr>
          <w:rFonts w:ascii="Helvetica" w:hAnsi="Helvetica" w:cs="Arial"/>
          <w:sz w:val="20"/>
          <w:szCs w:val="24"/>
          <w:lang w:val="lt-LT"/>
        </w:rPr>
        <w:t xml:space="preserve"> monomerą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627234" w:rsidRPr="000A530B">
        <w:rPr>
          <w:rFonts w:ascii="Helvetica" w:hAnsi="Helvetica" w:cs="Arial"/>
          <w:sz w:val="20"/>
          <w:szCs w:val="24"/>
          <w:lang w:val="lt-LT"/>
        </w:rPr>
        <w:t>kurio aminorūgščių seka yra parinktą iš grupės, susidedančios iš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SEQ ID Nr. 17-24.</w:t>
      </w:r>
    </w:p>
    <w:p w14:paraId="57B7722D" w14:textId="77777777" w:rsidR="000177DB" w:rsidRPr="000A530B" w:rsidRDefault="000177DB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3A419DD" w14:textId="77777777" w:rsidR="00191A60" w:rsidRPr="000A530B" w:rsidRDefault="00191A60" w:rsidP="000A5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>10.</w:t>
      </w:r>
      <w:r w:rsidR="000177DB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Antikūno 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>konstruktas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pagal bet kurį iš ankstesnių punktų, </w:t>
      </w:r>
      <w:r w:rsidR="00627234" w:rsidRPr="000A530B">
        <w:rPr>
          <w:rFonts w:ascii="Helvetica" w:hAnsi="Helvetica" w:cs="Arial"/>
          <w:sz w:val="20"/>
          <w:szCs w:val="24"/>
          <w:lang w:val="lt-LT"/>
        </w:rPr>
        <w:t>kurio aminorūgščių seka yra parinktą iš grupės, susidedančios iš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SEQ ID Nr. 55, 56, 61, 62, 73, 74, 79, 80, 91, 92, 97 ir 98.</w:t>
      </w:r>
    </w:p>
    <w:p w14:paraId="3981143E" w14:textId="77777777" w:rsidR="000177DB" w:rsidRPr="000A530B" w:rsidRDefault="000177DB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7F26A03" w14:textId="77777777" w:rsidR="00191A60" w:rsidRPr="000A530B" w:rsidRDefault="00191A60" w:rsidP="000A5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>11.</w:t>
      </w:r>
      <w:r w:rsidR="000177DB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0A530B">
        <w:rPr>
          <w:rFonts w:ascii="Helvetica" w:hAnsi="Helvetica" w:cs="Arial"/>
          <w:sz w:val="20"/>
          <w:szCs w:val="24"/>
          <w:lang w:val="lt-LT"/>
        </w:rPr>
        <w:t>Polinukleotidas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>, koduojantis antikūno konstruk</w:t>
      </w:r>
      <w:r w:rsidR="007B41CE" w:rsidRPr="000A530B">
        <w:rPr>
          <w:rFonts w:ascii="Helvetica" w:hAnsi="Helvetica" w:cs="Arial"/>
          <w:sz w:val="20"/>
          <w:szCs w:val="24"/>
          <w:lang w:val="lt-LT"/>
        </w:rPr>
        <w:t>t</w:t>
      </w:r>
      <w:r w:rsidRPr="000A530B">
        <w:rPr>
          <w:rFonts w:ascii="Helvetica" w:hAnsi="Helvetica" w:cs="Arial"/>
          <w:sz w:val="20"/>
          <w:szCs w:val="24"/>
          <w:lang w:val="lt-LT"/>
        </w:rPr>
        <w:t>ą, kaip apibrėžta bet kuriame iš ankstesnių punktų.</w:t>
      </w:r>
    </w:p>
    <w:p w14:paraId="19D9C69D" w14:textId="77777777" w:rsidR="000177DB" w:rsidRPr="000A530B" w:rsidRDefault="000177DB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2A5407D" w14:textId="77777777" w:rsidR="00191A60" w:rsidRPr="000A530B" w:rsidRDefault="00191A60" w:rsidP="000A5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>12.</w:t>
      </w:r>
      <w:r w:rsidR="000177DB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Vektorius, apimantis </w:t>
      </w:r>
      <w:proofErr w:type="spellStart"/>
      <w:r w:rsidRPr="000A530B">
        <w:rPr>
          <w:rFonts w:ascii="Helvetica" w:hAnsi="Helvetica" w:cs="Arial"/>
          <w:sz w:val="20"/>
          <w:szCs w:val="24"/>
          <w:lang w:val="lt-LT"/>
        </w:rPr>
        <w:t>polinukleotidą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>, kaip apibrėžta 11 punkte.</w:t>
      </w:r>
    </w:p>
    <w:p w14:paraId="28A7D1E1" w14:textId="77777777" w:rsidR="000177DB" w:rsidRPr="000A530B" w:rsidRDefault="000177DB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92B6FBE" w14:textId="77777777" w:rsidR="00191A60" w:rsidRPr="000A530B" w:rsidRDefault="00191A60" w:rsidP="000A5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>13.</w:t>
      </w:r>
      <w:r w:rsidR="000177DB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Ląstelė šeimininkė, transformuota arba </w:t>
      </w:r>
      <w:proofErr w:type="spellStart"/>
      <w:r w:rsidRPr="000A530B">
        <w:rPr>
          <w:rFonts w:ascii="Helvetica" w:hAnsi="Helvetica" w:cs="Arial"/>
          <w:sz w:val="20"/>
          <w:szCs w:val="24"/>
          <w:lang w:val="lt-LT"/>
        </w:rPr>
        <w:t>transfekuota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0A530B">
        <w:rPr>
          <w:rFonts w:ascii="Helvetica" w:hAnsi="Helvetica" w:cs="Arial"/>
          <w:sz w:val="20"/>
          <w:szCs w:val="24"/>
          <w:lang w:val="lt-LT"/>
        </w:rPr>
        <w:t>polinukleotidu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>, kaip apibrėžta 11 punkte, arba vektoriumi, kaip apibrėžta 12 punkte.</w:t>
      </w:r>
    </w:p>
    <w:p w14:paraId="226A9F0C" w14:textId="77777777" w:rsidR="000177DB" w:rsidRPr="000A530B" w:rsidRDefault="000177DB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F644CB9" w14:textId="77777777" w:rsidR="00191A60" w:rsidRPr="000A530B" w:rsidRDefault="00191A60" w:rsidP="000A5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>14.</w:t>
      </w:r>
      <w:r w:rsidR="000177DB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>Antikūno konstruk</w:t>
      </w:r>
      <w:r w:rsidR="00627234" w:rsidRPr="000A530B">
        <w:rPr>
          <w:rFonts w:ascii="Helvetica" w:hAnsi="Helvetica" w:cs="Arial"/>
          <w:sz w:val="20"/>
          <w:szCs w:val="24"/>
          <w:lang w:val="lt-LT"/>
        </w:rPr>
        <w:t>to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pagal bet kurį iš 1</w:t>
      </w:r>
      <w:r w:rsidR="00627234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>-</w:t>
      </w:r>
      <w:r w:rsidR="00627234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10 punktų gamybos būdas, </w:t>
      </w:r>
      <w:r w:rsidR="00627234" w:rsidRPr="000A530B">
        <w:rPr>
          <w:rFonts w:ascii="Helvetica" w:hAnsi="Helvetica" w:cs="Arial"/>
          <w:sz w:val="20"/>
          <w:szCs w:val="24"/>
          <w:lang w:val="lt-LT"/>
        </w:rPr>
        <w:t xml:space="preserve">kur minėtas būdas apima </w:t>
      </w:r>
      <w:r w:rsidRPr="000A530B">
        <w:rPr>
          <w:rFonts w:ascii="Helvetica" w:hAnsi="Helvetica" w:cs="Arial"/>
          <w:sz w:val="20"/>
          <w:szCs w:val="24"/>
          <w:lang w:val="lt-LT"/>
        </w:rPr>
        <w:t>ląstelės</w:t>
      </w:r>
      <w:r w:rsidR="00627234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>šeimininkės, kaip apibrėžta 13 punkte, kultivavimą</w:t>
      </w:r>
      <w:r w:rsidR="00627234" w:rsidRPr="000A530B">
        <w:rPr>
          <w:rFonts w:ascii="Helvetica" w:hAnsi="Helvetica" w:cs="Arial"/>
          <w:sz w:val="20"/>
          <w:szCs w:val="24"/>
          <w:lang w:val="lt-LT"/>
        </w:rPr>
        <w:t>, esant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sąlygoms, leidžiančiomis </w:t>
      </w:r>
      <w:proofErr w:type="spellStart"/>
      <w:r w:rsidRPr="000A530B">
        <w:rPr>
          <w:rFonts w:ascii="Helvetica" w:hAnsi="Helvetica" w:cs="Arial"/>
          <w:sz w:val="20"/>
          <w:szCs w:val="24"/>
          <w:lang w:val="lt-LT"/>
        </w:rPr>
        <w:t>ekspresuoti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 xml:space="preserve"> antikūno konstruktą, kaip apibrėžta bet kuriame iš 1</w:t>
      </w:r>
      <w:r w:rsidR="00627234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>-</w:t>
      </w:r>
      <w:r w:rsidR="00627234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>10 punktų</w:t>
      </w:r>
      <w:r w:rsidR="007B41CE" w:rsidRPr="000A530B">
        <w:rPr>
          <w:rFonts w:ascii="Helvetica" w:hAnsi="Helvetica" w:cs="Arial"/>
          <w:sz w:val="20"/>
          <w:szCs w:val="24"/>
          <w:lang w:val="lt-LT"/>
        </w:rPr>
        <w:t>,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ir pagaminto antikūno konstruk</w:t>
      </w:r>
      <w:r w:rsidR="00627234" w:rsidRPr="000A530B">
        <w:rPr>
          <w:rFonts w:ascii="Helvetica" w:hAnsi="Helvetica" w:cs="Arial"/>
          <w:sz w:val="20"/>
          <w:szCs w:val="24"/>
          <w:lang w:val="lt-LT"/>
        </w:rPr>
        <w:t>to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27234" w:rsidRPr="000A530B">
        <w:rPr>
          <w:rFonts w:ascii="Helvetica" w:hAnsi="Helvetica" w:cs="Arial"/>
          <w:sz w:val="20"/>
          <w:szCs w:val="24"/>
          <w:lang w:val="lt-LT"/>
        </w:rPr>
        <w:t>išskyrimą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iš kultūros.</w:t>
      </w:r>
    </w:p>
    <w:p w14:paraId="75E04C57" w14:textId="77777777" w:rsidR="000177DB" w:rsidRPr="000A530B" w:rsidRDefault="000177DB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8DD9E9E" w14:textId="77777777" w:rsidR="00191A60" w:rsidRPr="000A530B" w:rsidRDefault="00191A60" w:rsidP="000A5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>15.</w:t>
      </w:r>
      <w:r w:rsidR="000177DB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>Farmacinė kompozicija, apimanti antikūno konstruk</w:t>
      </w:r>
      <w:r w:rsidR="00627234" w:rsidRPr="000A530B">
        <w:rPr>
          <w:rFonts w:ascii="Helvetica" w:hAnsi="Helvetica" w:cs="Arial"/>
          <w:sz w:val="20"/>
          <w:szCs w:val="24"/>
          <w:lang w:val="lt-LT"/>
        </w:rPr>
        <w:t>t</w:t>
      </w:r>
      <w:r w:rsidRPr="000A530B">
        <w:rPr>
          <w:rFonts w:ascii="Helvetica" w:hAnsi="Helvetica" w:cs="Arial"/>
          <w:sz w:val="20"/>
          <w:szCs w:val="24"/>
          <w:lang w:val="lt-LT"/>
        </w:rPr>
        <w:t>ą pagal bet kurį iš 1</w:t>
      </w:r>
      <w:r w:rsidR="00627234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>-</w:t>
      </w:r>
      <w:r w:rsidR="00627234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>10 punktų arba pagaminta</w:t>
      </w:r>
      <w:r w:rsidR="00627234" w:rsidRPr="000A530B">
        <w:rPr>
          <w:rFonts w:ascii="Helvetica" w:hAnsi="Helvetica" w:cs="Arial"/>
          <w:sz w:val="20"/>
          <w:szCs w:val="24"/>
          <w:lang w:val="lt-LT"/>
        </w:rPr>
        <w:t xml:space="preserve"> būdu </w:t>
      </w:r>
      <w:r w:rsidRPr="000A530B">
        <w:rPr>
          <w:rFonts w:ascii="Helvetica" w:hAnsi="Helvetica" w:cs="Arial"/>
          <w:sz w:val="20"/>
          <w:szCs w:val="24"/>
          <w:lang w:val="lt-LT"/>
        </w:rPr>
        <w:t>pagal 14 punktą.</w:t>
      </w:r>
    </w:p>
    <w:p w14:paraId="291AD45D" w14:textId="77777777" w:rsidR="000177DB" w:rsidRPr="000A530B" w:rsidRDefault="000177DB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551B9C6" w14:textId="77777777" w:rsidR="00191A60" w:rsidRPr="000A530B" w:rsidRDefault="00191A60" w:rsidP="000A5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>16.</w:t>
      </w:r>
      <w:r w:rsidR="000177DB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Farmacinė kompozicija pagal 15 punktą, kuri yra stabili </w:t>
      </w:r>
      <w:r w:rsidR="00627234" w:rsidRPr="000A530B">
        <w:rPr>
          <w:rFonts w:ascii="Helvetica" w:hAnsi="Helvetica" w:cs="Arial"/>
          <w:sz w:val="20"/>
          <w:szCs w:val="24"/>
          <w:lang w:val="lt-LT"/>
        </w:rPr>
        <w:t>trump</w:t>
      </w:r>
      <w:r w:rsidRPr="000A530B">
        <w:rPr>
          <w:rFonts w:ascii="Helvetica" w:hAnsi="Helvetica" w:cs="Arial"/>
          <w:sz w:val="20"/>
          <w:szCs w:val="24"/>
          <w:lang w:val="lt-LT"/>
        </w:rPr>
        <w:t>iausiai keturias savaites maždaug -20</w:t>
      </w:r>
      <w:r w:rsidR="002478FA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>°C temperatūroje.</w:t>
      </w:r>
    </w:p>
    <w:p w14:paraId="2B508712" w14:textId="77777777" w:rsidR="000177DB" w:rsidRPr="000A530B" w:rsidRDefault="000177DB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B5A8279" w14:textId="77777777" w:rsidR="00191A60" w:rsidRPr="000A530B" w:rsidRDefault="00191A60" w:rsidP="000A5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>17.</w:t>
      </w:r>
      <w:r w:rsidR="000177DB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Antikūno 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>konstruktas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pagal bet kurį iš 1</w:t>
      </w:r>
      <w:r w:rsidR="002478FA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>-</w:t>
      </w:r>
      <w:r w:rsidR="002478FA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>10 punktų, skirta</w:t>
      </w:r>
      <w:r w:rsidR="002478FA" w:rsidRPr="000A530B">
        <w:rPr>
          <w:rFonts w:ascii="Helvetica" w:hAnsi="Helvetica" w:cs="Arial"/>
          <w:sz w:val="20"/>
          <w:szCs w:val="24"/>
          <w:lang w:val="lt-LT"/>
        </w:rPr>
        <w:t>s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naudoti naviko arba autoimuninės ligos profilaktikai arba gydymui.</w:t>
      </w:r>
    </w:p>
    <w:p w14:paraId="6A4C39FD" w14:textId="77777777" w:rsidR="000177DB" w:rsidRPr="000A530B" w:rsidRDefault="000177DB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9599D8B" w14:textId="77777777" w:rsidR="00191A60" w:rsidRPr="000A530B" w:rsidRDefault="00191A60" w:rsidP="000A5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>18.</w:t>
      </w:r>
      <w:r w:rsidR="000177DB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Antikūno </w:t>
      </w:r>
      <w:r w:rsidR="00983F46" w:rsidRPr="000A530B">
        <w:rPr>
          <w:rFonts w:ascii="Helvetica" w:hAnsi="Helvetica" w:cs="Arial"/>
          <w:sz w:val="20"/>
          <w:szCs w:val="24"/>
          <w:lang w:val="lt-LT"/>
        </w:rPr>
        <w:t>konstruktas</w:t>
      </w:r>
      <w:r w:rsidRPr="000A530B">
        <w:rPr>
          <w:rFonts w:ascii="Helvetica" w:hAnsi="Helvetica" w:cs="Arial"/>
          <w:sz w:val="20"/>
          <w:szCs w:val="24"/>
          <w:lang w:val="lt-LT"/>
        </w:rPr>
        <w:t>, skirta</w:t>
      </w:r>
      <w:r w:rsidR="007B41CE" w:rsidRPr="000A530B">
        <w:rPr>
          <w:rFonts w:ascii="Helvetica" w:hAnsi="Helvetica" w:cs="Arial"/>
          <w:sz w:val="20"/>
          <w:szCs w:val="24"/>
          <w:lang w:val="lt-LT"/>
        </w:rPr>
        <w:t>s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naudoti pagal 17 punktą, kur navikas yra parinktas iš grupės, susidedančios iš daugybinės mielomos, </w:t>
      </w:r>
      <w:proofErr w:type="spellStart"/>
      <w:r w:rsidRPr="000A530B">
        <w:rPr>
          <w:rFonts w:ascii="Helvetica" w:hAnsi="Helvetica" w:cs="Arial"/>
          <w:sz w:val="20"/>
          <w:szCs w:val="24"/>
          <w:lang w:val="lt-LT"/>
        </w:rPr>
        <w:t>plazmocitomos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 xml:space="preserve">, plazmos ląstelių leukemijos, </w:t>
      </w:r>
      <w:proofErr w:type="spellStart"/>
      <w:r w:rsidR="002478FA" w:rsidRPr="000A530B">
        <w:rPr>
          <w:rFonts w:ascii="Helvetica" w:hAnsi="Helvetica" w:cs="Arial"/>
          <w:sz w:val="20"/>
          <w:szCs w:val="24"/>
          <w:lang w:val="lt-LT"/>
        </w:rPr>
        <w:t>Valdenštremo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0A530B">
        <w:rPr>
          <w:rFonts w:ascii="Helvetica" w:hAnsi="Helvetica" w:cs="Arial"/>
          <w:sz w:val="20"/>
          <w:szCs w:val="24"/>
          <w:lang w:val="lt-LT"/>
        </w:rPr>
        <w:lastRenderedPageBreak/>
        <w:t>makroglobulinemijos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2478FA" w:rsidRPr="000A530B">
        <w:rPr>
          <w:rFonts w:ascii="Helvetica" w:hAnsi="Helvetica" w:cs="Arial"/>
          <w:sz w:val="20"/>
          <w:szCs w:val="24"/>
          <w:lang w:val="lt-LT"/>
        </w:rPr>
        <w:t>izoliuotos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kaulo </w:t>
      </w:r>
      <w:proofErr w:type="spellStart"/>
      <w:r w:rsidRPr="000A530B">
        <w:rPr>
          <w:rFonts w:ascii="Helvetica" w:hAnsi="Helvetica" w:cs="Arial"/>
          <w:sz w:val="20"/>
          <w:szCs w:val="24"/>
          <w:lang w:val="lt-LT"/>
        </w:rPr>
        <w:t>plazmocitomos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0A530B">
        <w:rPr>
          <w:rFonts w:ascii="Helvetica" w:hAnsi="Helvetica" w:cs="Arial"/>
          <w:sz w:val="20"/>
          <w:szCs w:val="24"/>
          <w:lang w:val="lt-LT"/>
        </w:rPr>
        <w:t>ekstramedulinės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0A530B">
        <w:rPr>
          <w:rFonts w:ascii="Helvetica" w:hAnsi="Helvetica" w:cs="Arial"/>
          <w:sz w:val="20"/>
          <w:szCs w:val="24"/>
          <w:lang w:val="lt-LT"/>
        </w:rPr>
        <w:t>plazmocitomos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0A530B">
        <w:rPr>
          <w:rFonts w:ascii="Helvetica" w:hAnsi="Helvetica" w:cs="Arial"/>
          <w:sz w:val="20"/>
          <w:szCs w:val="24"/>
          <w:lang w:val="lt-LT"/>
        </w:rPr>
        <w:t>osteosklero</w:t>
      </w:r>
      <w:r w:rsidR="002478FA" w:rsidRPr="000A530B">
        <w:rPr>
          <w:rFonts w:ascii="Helvetica" w:hAnsi="Helvetica" w:cs="Arial"/>
          <w:sz w:val="20"/>
          <w:szCs w:val="24"/>
          <w:lang w:val="lt-LT"/>
        </w:rPr>
        <w:t>t</w:t>
      </w:r>
      <w:r w:rsidRPr="000A530B">
        <w:rPr>
          <w:rFonts w:ascii="Helvetica" w:hAnsi="Helvetica" w:cs="Arial"/>
          <w:sz w:val="20"/>
          <w:szCs w:val="24"/>
          <w:lang w:val="lt-LT"/>
        </w:rPr>
        <w:t>inės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 xml:space="preserve"> mielomos, </w:t>
      </w:r>
      <w:r w:rsidR="002478FA" w:rsidRPr="000A530B">
        <w:rPr>
          <w:rFonts w:ascii="Helvetica" w:hAnsi="Helvetica" w:cs="Arial"/>
          <w:sz w:val="20"/>
          <w:szCs w:val="24"/>
          <w:lang w:val="lt-LT"/>
        </w:rPr>
        <w:t>lėtos eigos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daugybinės mielomos, B ląstelių ne </w:t>
      </w:r>
      <w:proofErr w:type="spellStart"/>
      <w:r w:rsidRPr="000A530B">
        <w:rPr>
          <w:rFonts w:ascii="Helvetica" w:hAnsi="Helvetica" w:cs="Arial"/>
          <w:sz w:val="20"/>
          <w:szCs w:val="24"/>
          <w:lang w:val="lt-LT"/>
        </w:rPr>
        <w:t>Hodžkino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 xml:space="preserve"> limfom</w:t>
      </w:r>
      <w:r w:rsidR="002478FA" w:rsidRPr="000A530B">
        <w:rPr>
          <w:rFonts w:ascii="Helvetica" w:hAnsi="Helvetica" w:cs="Arial"/>
          <w:sz w:val="20"/>
          <w:szCs w:val="24"/>
          <w:lang w:val="lt-LT"/>
        </w:rPr>
        <w:t>os</w:t>
      </w:r>
      <w:r w:rsidRPr="000A530B">
        <w:rPr>
          <w:rFonts w:ascii="Helvetica" w:hAnsi="Helvetica" w:cs="Arial"/>
          <w:sz w:val="20"/>
          <w:szCs w:val="24"/>
          <w:lang w:val="lt-LT"/>
        </w:rPr>
        <w:t>, lėtinė</w:t>
      </w:r>
      <w:r w:rsidR="002478FA" w:rsidRPr="000A530B">
        <w:rPr>
          <w:rFonts w:ascii="Helvetica" w:hAnsi="Helvetica" w:cs="Arial"/>
          <w:sz w:val="20"/>
          <w:szCs w:val="24"/>
          <w:lang w:val="lt-LT"/>
        </w:rPr>
        <w:t>s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0A530B">
        <w:rPr>
          <w:rFonts w:ascii="Helvetica" w:hAnsi="Helvetica" w:cs="Arial"/>
          <w:sz w:val="20"/>
          <w:szCs w:val="24"/>
          <w:lang w:val="lt-LT"/>
        </w:rPr>
        <w:t>limfocitinė</w:t>
      </w:r>
      <w:r w:rsidR="002478FA" w:rsidRPr="000A530B">
        <w:rPr>
          <w:rFonts w:ascii="Helvetica" w:hAnsi="Helvetica" w:cs="Arial"/>
          <w:sz w:val="20"/>
          <w:szCs w:val="24"/>
          <w:lang w:val="lt-LT"/>
        </w:rPr>
        <w:t>s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 xml:space="preserve"> leukemij</w:t>
      </w:r>
      <w:r w:rsidR="002478FA" w:rsidRPr="000A530B">
        <w:rPr>
          <w:rFonts w:ascii="Helvetica" w:hAnsi="Helvetica" w:cs="Arial"/>
          <w:sz w:val="20"/>
          <w:szCs w:val="24"/>
          <w:lang w:val="lt-LT"/>
        </w:rPr>
        <w:t>os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0A530B">
        <w:rPr>
          <w:rFonts w:ascii="Helvetica" w:hAnsi="Helvetica" w:cs="Arial"/>
          <w:sz w:val="20"/>
          <w:szCs w:val="24"/>
          <w:lang w:val="lt-LT"/>
        </w:rPr>
        <w:t>Hodžkino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 xml:space="preserve"> limfom</w:t>
      </w:r>
      <w:r w:rsidR="002478FA" w:rsidRPr="000A530B">
        <w:rPr>
          <w:rFonts w:ascii="Helvetica" w:hAnsi="Helvetica" w:cs="Arial"/>
          <w:sz w:val="20"/>
          <w:szCs w:val="24"/>
          <w:lang w:val="lt-LT"/>
        </w:rPr>
        <w:t>os</w:t>
      </w:r>
      <w:r w:rsidRPr="000A530B">
        <w:rPr>
          <w:rFonts w:ascii="Helvetica" w:hAnsi="Helvetica" w:cs="Arial"/>
          <w:sz w:val="20"/>
          <w:szCs w:val="24"/>
          <w:lang w:val="lt-LT"/>
        </w:rPr>
        <w:t>.</w:t>
      </w:r>
    </w:p>
    <w:p w14:paraId="4DFD8FEC" w14:textId="77777777" w:rsidR="000177DB" w:rsidRPr="000A530B" w:rsidRDefault="000177DB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38733F1" w14:textId="77777777" w:rsidR="0025675F" w:rsidRPr="000A530B" w:rsidRDefault="00191A60" w:rsidP="000A530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A530B">
        <w:rPr>
          <w:rFonts w:ascii="Helvetica" w:hAnsi="Helvetica" w:cs="Arial"/>
          <w:sz w:val="20"/>
          <w:szCs w:val="24"/>
          <w:lang w:val="lt-LT"/>
        </w:rPr>
        <w:t>19.</w:t>
      </w:r>
      <w:r w:rsidR="000177DB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>Rinkinys, apimantis antikūno konstruk</w:t>
      </w:r>
      <w:r w:rsidR="002478FA" w:rsidRPr="000A530B">
        <w:rPr>
          <w:rFonts w:ascii="Helvetica" w:hAnsi="Helvetica" w:cs="Arial"/>
          <w:sz w:val="20"/>
          <w:szCs w:val="24"/>
          <w:lang w:val="lt-LT"/>
        </w:rPr>
        <w:t>t</w:t>
      </w:r>
      <w:r w:rsidRPr="000A530B">
        <w:rPr>
          <w:rFonts w:ascii="Helvetica" w:hAnsi="Helvetica" w:cs="Arial"/>
          <w:sz w:val="20"/>
          <w:szCs w:val="24"/>
          <w:lang w:val="lt-LT"/>
        </w:rPr>
        <w:t>ą pagal bet kurį iš 1</w:t>
      </w:r>
      <w:r w:rsidR="002478FA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>-</w:t>
      </w:r>
      <w:r w:rsidR="002478FA" w:rsidRPr="000A530B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10 punktų arba pagamintą </w:t>
      </w:r>
      <w:r w:rsidR="002478FA" w:rsidRPr="000A530B">
        <w:rPr>
          <w:rFonts w:ascii="Helvetica" w:hAnsi="Helvetica" w:cs="Arial"/>
          <w:sz w:val="20"/>
          <w:szCs w:val="24"/>
          <w:lang w:val="lt-LT"/>
        </w:rPr>
        <w:t xml:space="preserve">būdu 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pagal 14 punktą, </w:t>
      </w:r>
      <w:proofErr w:type="spellStart"/>
      <w:r w:rsidRPr="000A530B">
        <w:rPr>
          <w:rFonts w:ascii="Helvetica" w:hAnsi="Helvetica" w:cs="Arial"/>
          <w:sz w:val="20"/>
          <w:szCs w:val="24"/>
          <w:lang w:val="lt-LT"/>
        </w:rPr>
        <w:t>polinukleotidą</w:t>
      </w:r>
      <w:proofErr w:type="spellEnd"/>
      <w:r w:rsidRPr="000A530B">
        <w:rPr>
          <w:rFonts w:ascii="Helvetica" w:hAnsi="Helvetica" w:cs="Arial"/>
          <w:sz w:val="20"/>
          <w:szCs w:val="24"/>
          <w:lang w:val="lt-LT"/>
        </w:rPr>
        <w:t xml:space="preserve"> pagal 11 punktą, vektorių</w:t>
      </w:r>
      <w:r w:rsidR="00AB7DA8" w:rsidRPr="000A530B">
        <w:rPr>
          <w:rFonts w:ascii="Helvetica" w:hAnsi="Helvetica" w:cs="Arial"/>
          <w:sz w:val="20"/>
          <w:szCs w:val="24"/>
          <w:lang w:val="lt-LT"/>
        </w:rPr>
        <w:t xml:space="preserve"> pagal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12 punkt</w:t>
      </w:r>
      <w:r w:rsidR="00AB7DA8" w:rsidRPr="000A530B">
        <w:rPr>
          <w:rFonts w:ascii="Helvetica" w:hAnsi="Helvetica" w:cs="Arial"/>
          <w:sz w:val="20"/>
          <w:szCs w:val="24"/>
          <w:lang w:val="lt-LT"/>
        </w:rPr>
        <w:t>ą</w:t>
      </w:r>
      <w:r w:rsidRPr="000A530B">
        <w:rPr>
          <w:rFonts w:ascii="Helvetica" w:hAnsi="Helvetica" w:cs="Arial"/>
          <w:sz w:val="20"/>
          <w:szCs w:val="24"/>
          <w:lang w:val="lt-LT"/>
        </w:rPr>
        <w:t>, ir</w:t>
      </w:r>
      <w:r w:rsidR="00AB7DA8" w:rsidRPr="000A530B">
        <w:rPr>
          <w:rFonts w:ascii="Helvetica" w:hAnsi="Helvetica" w:cs="Arial"/>
          <w:sz w:val="20"/>
          <w:szCs w:val="24"/>
          <w:lang w:val="lt-LT"/>
        </w:rPr>
        <w:t xml:space="preserve"> (</w:t>
      </w:r>
      <w:r w:rsidRPr="000A530B">
        <w:rPr>
          <w:rFonts w:ascii="Helvetica" w:hAnsi="Helvetica" w:cs="Arial"/>
          <w:sz w:val="20"/>
          <w:szCs w:val="24"/>
          <w:lang w:val="lt-LT"/>
        </w:rPr>
        <w:t>arba</w:t>
      </w:r>
      <w:r w:rsidR="00AB7DA8" w:rsidRPr="000A530B">
        <w:rPr>
          <w:rFonts w:ascii="Helvetica" w:hAnsi="Helvetica" w:cs="Arial"/>
          <w:sz w:val="20"/>
          <w:szCs w:val="24"/>
          <w:lang w:val="lt-LT"/>
        </w:rPr>
        <w:t>)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ląstelę šeiminink</w:t>
      </w:r>
      <w:r w:rsidR="007B41CE" w:rsidRPr="000A530B">
        <w:rPr>
          <w:rFonts w:ascii="Helvetica" w:hAnsi="Helvetica" w:cs="Arial"/>
          <w:sz w:val="20"/>
          <w:szCs w:val="24"/>
          <w:lang w:val="lt-LT"/>
        </w:rPr>
        <w:t>ę</w:t>
      </w:r>
      <w:r w:rsidR="00AB7DA8" w:rsidRPr="000A530B">
        <w:rPr>
          <w:rFonts w:ascii="Helvetica" w:hAnsi="Helvetica" w:cs="Arial"/>
          <w:sz w:val="20"/>
          <w:szCs w:val="24"/>
          <w:lang w:val="lt-LT"/>
        </w:rPr>
        <w:t xml:space="preserve"> pagal</w:t>
      </w:r>
      <w:r w:rsidRPr="000A530B">
        <w:rPr>
          <w:rFonts w:ascii="Helvetica" w:hAnsi="Helvetica" w:cs="Arial"/>
          <w:sz w:val="20"/>
          <w:szCs w:val="24"/>
          <w:lang w:val="lt-LT"/>
        </w:rPr>
        <w:t xml:space="preserve"> 13 punkt</w:t>
      </w:r>
      <w:r w:rsidR="00AB7DA8" w:rsidRPr="000A530B">
        <w:rPr>
          <w:rFonts w:ascii="Helvetica" w:hAnsi="Helvetica" w:cs="Arial"/>
          <w:sz w:val="20"/>
          <w:szCs w:val="24"/>
          <w:lang w:val="lt-LT"/>
        </w:rPr>
        <w:t>ą</w:t>
      </w:r>
      <w:r w:rsidRPr="000A530B">
        <w:rPr>
          <w:rFonts w:ascii="Helvetica" w:hAnsi="Helvetica" w:cs="Arial"/>
          <w:sz w:val="20"/>
          <w:szCs w:val="24"/>
          <w:lang w:val="lt-LT"/>
        </w:rPr>
        <w:t>.</w:t>
      </w:r>
    </w:p>
    <w:p w14:paraId="44E06AE9" w14:textId="77777777" w:rsidR="00F73287" w:rsidRPr="000A530B" w:rsidRDefault="00F73287" w:rsidP="000A530B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sectPr w:rsidR="00F73287" w:rsidRPr="000A530B" w:rsidSect="000A530B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3E4C" w14:textId="77777777" w:rsidR="00114719" w:rsidRDefault="00114719" w:rsidP="007B0A41">
      <w:pPr>
        <w:spacing w:after="0" w:line="240" w:lineRule="auto"/>
      </w:pPr>
      <w:r>
        <w:separator/>
      </w:r>
    </w:p>
  </w:endnote>
  <w:endnote w:type="continuationSeparator" w:id="0">
    <w:p w14:paraId="4B581945" w14:textId="77777777" w:rsidR="00114719" w:rsidRDefault="00114719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56D17" w14:textId="77777777" w:rsidR="00114719" w:rsidRDefault="00114719" w:rsidP="007B0A41">
      <w:pPr>
        <w:spacing w:after="0" w:line="240" w:lineRule="auto"/>
      </w:pPr>
      <w:r>
        <w:separator/>
      </w:r>
    </w:p>
  </w:footnote>
  <w:footnote w:type="continuationSeparator" w:id="0">
    <w:p w14:paraId="3E2F1B46" w14:textId="77777777" w:rsidR="00114719" w:rsidRDefault="00114719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177DB"/>
    <w:rsid w:val="00065F0D"/>
    <w:rsid w:val="00070D8A"/>
    <w:rsid w:val="00092D0B"/>
    <w:rsid w:val="000A530B"/>
    <w:rsid w:val="000C0C14"/>
    <w:rsid w:val="00114719"/>
    <w:rsid w:val="00120AC9"/>
    <w:rsid w:val="001308ED"/>
    <w:rsid w:val="0016460E"/>
    <w:rsid w:val="001668DF"/>
    <w:rsid w:val="00191A60"/>
    <w:rsid w:val="00191B1C"/>
    <w:rsid w:val="00192F10"/>
    <w:rsid w:val="001A3E8E"/>
    <w:rsid w:val="001C33D1"/>
    <w:rsid w:val="001F266E"/>
    <w:rsid w:val="00223910"/>
    <w:rsid w:val="00234E11"/>
    <w:rsid w:val="002478FA"/>
    <w:rsid w:val="0025675F"/>
    <w:rsid w:val="00257F39"/>
    <w:rsid w:val="00260D4E"/>
    <w:rsid w:val="002837FC"/>
    <w:rsid w:val="002C1A4F"/>
    <w:rsid w:val="00316FB7"/>
    <w:rsid w:val="00360E2B"/>
    <w:rsid w:val="003700E9"/>
    <w:rsid w:val="003924B8"/>
    <w:rsid w:val="003A0D71"/>
    <w:rsid w:val="003A1B2E"/>
    <w:rsid w:val="003B53A5"/>
    <w:rsid w:val="003B5C0B"/>
    <w:rsid w:val="003D4001"/>
    <w:rsid w:val="003E5E6D"/>
    <w:rsid w:val="00412B35"/>
    <w:rsid w:val="004138E9"/>
    <w:rsid w:val="00416928"/>
    <w:rsid w:val="00431822"/>
    <w:rsid w:val="004A61A4"/>
    <w:rsid w:val="004C1469"/>
    <w:rsid w:val="004F35B0"/>
    <w:rsid w:val="00501F3F"/>
    <w:rsid w:val="00510879"/>
    <w:rsid w:val="0053198F"/>
    <w:rsid w:val="00560B7D"/>
    <w:rsid w:val="00564911"/>
    <w:rsid w:val="00583C99"/>
    <w:rsid w:val="00593A5A"/>
    <w:rsid w:val="0059478E"/>
    <w:rsid w:val="00597C06"/>
    <w:rsid w:val="005B768F"/>
    <w:rsid w:val="005C4A77"/>
    <w:rsid w:val="005D37DF"/>
    <w:rsid w:val="006049CC"/>
    <w:rsid w:val="00617E21"/>
    <w:rsid w:val="00627234"/>
    <w:rsid w:val="006375BB"/>
    <w:rsid w:val="00675FB8"/>
    <w:rsid w:val="00683EAE"/>
    <w:rsid w:val="0068769C"/>
    <w:rsid w:val="006A5176"/>
    <w:rsid w:val="006B1A30"/>
    <w:rsid w:val="006C3CD4"/>
    <w:rsid w:val="006C5EA4"/>
    <w:rsid w:val="006C673E"/>
    <w:rsid w:val="006D15AB"/>
    <w:rsid w:val="006F52F9"/>
    <w:rsid w:val="00721A3A"/>
    <w:rsid w:val="007265BB"/>
    <w:rsid w:val="007752B9"/>
    <w:rsid w:val="007760A8"/>
    <w:rsid w:val="00790202"/>
    <w:rsid w:val="00795D58"/>
    <w:rsid w:val="007A4B6F"/>
    <w:rsid w:val="007B0A41"/>
    <w:rsid w:val="007B41CE"/>
    <w:rsid w:val="007C0A0D"/>
    <w:rsid w:val="007C18AB"/>
    <w:rsid w:val="007C60FE"/>
    <w:rsid w:val="007E2261"/>
    <w:rsid w:val="00806BE5"/>
    <w:rsid w:val="00807DB6"/>
    <w:rsid w:val="008309E7"/>
    <w:rsid w:val="00837B1E"/>
    <w:rsid w:val="00851ABA"/>
    <w:rsid w:val="00853D62"/>
    <w:rsid w:val="00864E7D"/>
    <w:rsid w:val="00886FF4"/>
    <w:rsid w:val="008A7B6E"/>
    <w:rsid w:val="008B41AC"/>
    <w:rsid w:val="008C60D6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3F46"/>
    <w:rsid w:val="0098532A"/>
    <w:rsid w:val="00992879"/>
    <w:rsid w:val="009B2E35"/>
    <w:rsid w:val="009B6C12"/>
    <w:rsid w:val="00A02F0C"/>
    <w:rsid w:val="00A22BBD"/>
    <w:rsid w:val="00A4282B"/>
    <w:rsid w:val="00A51B6C"/>
    <w:rsid w:val="00A534B9"/>
    <w:rsid w:val="00AA3A1F"/>
    <w:rsid w:val="00AB7DA8"/>
    <w:rsid w:val="00AD4691"/>
    <w:rsid w:val="00AE51EA"/>
    <w:rsid w:val="00AF4427"/>
    <w:rsid w:val="00B226B6"/>
    <w:rsid w:val="00B347CF"/>
    <w:rsid w:val="00B6516C"/>
    <w:rsid w:val="00B70727"/>
    <w:rsid w:val="00B81287"/>
    <w:rsid w:val="00B86C5A"/>
    <w:rsid w:val="00BA2E9F"/>
    <w:rsid w:val="00BD2789"/>
    <w:rsid w:val="00BE60D0"/>
    <w:rsid w:val="00C1001A"/>
    <w:rsid w:val="00C26B30"/>
    <w:rsid w:val="00C26C67"/>
    <w:rsid w:val="00C30968"/>
    <w:rsid w:val="00C323DA"/>
    <w:rsid w:val="00C34317"/>
    <w:rsid w:val="00C72847"/>
    <w:rsid w:val="00C86DA9"/>
    <w:rsid w:val="00C91715"/>
    <w:rsid w:val="00CE42D1"/>
    <w:rsid w:val="00CF70D6"/>
    <w:rsid w:val="00D15412"/>
    <w:rsid w:val="00D30F69"/>
    <w:rsid w:val="00D54A23"/>
    <w:rsid w:val="00D55A30"/>
    <w:rsid w:val="00D56D60"/>
    <w:rsid w:val="00D938BF"/>
    <w:rsid w:val="00DB375D"/>
    <w:rsid w:val="00E1104B"/>
    <w:rsid w:val="00E1543E"/>
    <w:rsid w:val="00E2583B"/>
    <w:rsid w:val="00E321B7"/>
    <w:rsid w:val="00EA7ED9"/>
    <w:rsid w:val="00EB03E6"/>
    <w:rsid w:val="00F01CE8"/>
    <w:rsid w:val="00F24F0F"/>
    <w:rsid w:val="00F37F4D"/>
    <w:rsid w:val="00F5330D"/>
    <w:rsid w:val="00F577D6"/>
    <w:rsid w:val="00F66B57"/>
    <w:rsid w:val="00F73287"/>
    <w:rsid w:val="00F87A00"/>
    <w:rsid w:val="00FA380A"/>
    <w:rsid w:val="00FB2032"/>
    <w:rsid w:val="00FB6147"/>
    <w:rsid w:val="00FB72FF"/>
    <w:rsid w:val="00FC4138"/>
    <w:rsid w:val="00FD103E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4593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0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04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210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102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730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059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76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907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37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140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02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045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59798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667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3682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622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475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5960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2050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849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364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908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9827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104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4455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19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8148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222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7155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553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112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02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56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83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8847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747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617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241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1798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364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64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93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02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201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23540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705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470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62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7417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74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3053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068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9518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792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488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661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7062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1094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490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053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861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00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477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592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252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408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512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99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09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523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437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95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521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916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9755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959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9155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228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2022-01-25T08:13:00Z</dcterms:created>
  <dcterms:modified xsi:type="dcterms:W3CDTF">2022-01-25T08:13:00Z</dcterms:modified>
</cp:coreProperties>
</file>