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5DF2" w14:textId="2A813E38" w:rsidR="00B96506" w:rsidRPr="003375BE" w:rsidRDefault="00BA2E9F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B96506" w:rsidRPr="003375BE">
        <w:rPr>
          <w:rFonts w:ascii="Helvetica" w:hAnsi="Helvetica" w:cs="Arial"/>
          <w:sz w:val="20"/>
          <w:szCs w:val="24"/>
          <w:lang w:val="lt-LT"/>
        </w:rPr>
        <w:t xml:space="preserve">Skysta farmacinė vaisto forma, apimanti: </w:t>
      </w:r>
    </w:p>
    <w:p w14:paraId="5326BCC4" w14:textId="2A150C96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a. antikūn</w:t>
      </w:r>
      <w:r w:rsidR="005E0E1E" w:rsidRPr="003375BE">
        <w:rPr>
          <w:rFonts w:ascii="Helvetica" w:hAnsi="Helvetica" w:cs="Arial"/>
          <w:sz w:val="20"/>
          <w:szCs w:val="24"/>
          <w:lang w:val="lt-LT"/>
        </w:rPr>
        <w:t>ą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arba antigeną surišantį jo fragmentą kaip aktyviąją sudedamąją dalį;</w:t>
      </w:r>
    </w:p>
    <w:p w14:paraId="102499A7" w14:textId="2694E37C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 xml:space="preserve">b.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ciklodekstriną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kurio koncentracija nuo 7,5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iki 250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6727451A" w14:textId="2E2F8367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 xml:space="preserve">c.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metioniną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kurio koncentracija yra nuo 30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iki 200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.</w:t>
      </w:r>
    </w:p>
    <w:p w14:paraId="3B7D128C" w14:textId="77777777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53B427" w14:textId="2087C711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2. Skysta vaisto forma pagal 1 punktą, apimanti antikūną arba antigeną surišantį jo fragmentą, kurio koncentracija yra nuo 1 iki 200 mg/ml, pageidautina nuo 90 iki 180 mg/ml.</w:t>
      </w:r>
    </w:p>
    <w:p w14:paraId="7F93AFF9" w14:textId="77777777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C543E29" w14:textId="752B335A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 xml:space="preserve">3. Skysta vaisto forma pagal 1 arba 2 punktą, kur antikūnas arba antigeną surišantis jo fragmentas specifiškai rišasi prie žmogaus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sklerostino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.</w:t>
      </w:r>
    </w:p>
    <w:p w14:paraId="05E0B0DA" w14:textId="77777777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97EA0A" w14:textId="53DC53E3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4. Skysta vaisto forma pagal bet kurį iš ankstesnių punktų, kur antikūnas yra žmogaus arba humanizuotas antikūnas arba antigeną surišantis jo fragmentas.</w:t>
      </w:r>
    </w:p>
    <w:p w14:paraId="6A01C1C9" w14:textId="77777777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18C68E" w14:textId="5D857C72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5. Skysta vaisto forma pagal bet kurį iš ankstesnių punktų, kur:</w:t>
      </w:r>
    </w:p>
    <w:p w14:paraId="61861B7D" w14:textId="199D7DCC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a. antikūnas arba antigeną surišantis jo fragmentas</w:t>
      </w:r>
    </w:p>
    <w:p w14:paraId="70D96572" w14:textId="3AA07306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i. apima CDR-H1, kurios seka yra kaip apibrėžta SEQ ID Nr. 1; CDR-H2, kurios seka yra kaip apibrėžta SEQ ID Nr. 2; CDR-H3, kurios seka yra kaip apibrėžta SEQ ID Nr. 3; CDR-L1, kurios seka yra kaip apibrėžta SEQ ID Nr. 4; CDR-L2, kurios seka yra kaip apibrėžta SEQ ID Nr. 5, ir CDR-L3, kurios seka yra kaip apibrėžta SEQ ID Nr. 6; arba</w:t>
      </w:r>
    </w:p>
    <w:p w14:paraId="5F15BADA" w14:textId="73266580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ii. turi lengv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osios grandinės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kintamą sritį, 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kurios seka yra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kaip apibrėžta SEQ ID Nr. 7, ir sunki</w:t>
      </w:r>
      <w:r w:rsidR="005E0E1E" w:rsidRPr="003375BE">
        <w:rPr>
          <w:rFonts w:ascii="Helvetica" w:hAnsi="Helvetica" w:cs="Arial"/>
          <w:sz w:val="20"/>
          <w:szCs w:val="24"/>
          <w:lang w:val="lt-LT"/>
        </w:rPr>
        <w:t>osios grandinės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kintamąją sritį, 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kurios seka yra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kaip apibrėžta SEQ ID Nr. 8; arba</w:t>
      </w:r>
    </w:p>
    <w:p w14:paraId="5FAE2186" w14:textId="77777777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b. antikūnas turi</w:t>
      </w:r>
    </w:p>
    <w:p w14:paraId="3648F3D6" w14:textId="3F364F5A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i. lengv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ąją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grandin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ę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kurios seka yra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kaip apibrėžta SEQ ID Nr. 9, ir sunkiąją grandinę, 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kurios seka yra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kaip apibrėžta SEQ ID Nr. 10; arba</w:t>
      </w:r>
    </w:p>
    <w:p w14:paraId="27BF30A3" w14:textId="4CE0599F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 xml:space="preserve">ii. 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lengvąją grandinę, kurios seka yra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kaip apibrėžta SEQ ID Nr. 11, ir sunki</w:t>
      </w:r>
      <w:r w:rsidR="005E0E1E" w:rsidRPr="003375BE">
        <w:rPr>
          <w:rFonts w:ascii="Helvetica" w:hAnsi="Helvetica" w:cs="Arial"/>
          <w:sz w:val="20"/>
          <w:szCs w:val="24"/>
          <w:lang w:val="lt-LT"/>
        </w:rPr>
        <w:t>ąją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grandin</w:t>
      </w:r>
      <w:r w:rsidR="005E0E1E" w:rsidRPr="003375BE">
        <w:rPr>
          <w:rFonts w:ascii="Helvetica" w:hAnsi="Helvetica" w:cs="Arial"/>
          <w:sz w:val="20"/>
          <w:szCs w:val="24"/>
          <w:lang w:val="lt-LT"/>
        </w:rPr>
        <w:t>ę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kurios seka yra kaip apibrėžta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SEQ ID Nr. 12.</w:t>
      </w:r>
    </w:p>
    <w:p w14:paraId="06D3F603" w14:textId="77777777" w:rsidR="0029749A" w:rsidRPr="003375BE" w:rsidRDefault="0029749A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37C7B50" w14:textId="6A9536DE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6.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Skysta vaisto forma pagal bet kurį iš ankstesnių punktų, kur antikūnas yra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romosozumabas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.</w:t>
      </w:r>
    </w:p>
    <w:p w14:paraId="778D3FBB" w14:textId="77777777" w:rsidR="0029749A" w:rsidRPr="003375BE" w:rsidRDefault="0029749A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31D4FB" w14:textId="0BCBC367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7.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Skysta vaisto forma pagal bet kurį iš ankstesnių punktų, 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kurios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pH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nuo 4,0 iki 7,5.</w:t>
      </w:r>
    </w:p>
    <w:p w14:paraId="506F3779" w14:textId="77777777" w:rsidR="0029749A" w:rsidRPr="003375BE" w:rsidRDefault="0029749A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6E5B18" w14:textId="5B077F98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8.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Skysta vaisto forma pagal bet kurį iš ankstesnių punktų, kur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yra parinktas iš alfa-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, 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dimetil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trimetil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, atsitiktin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e tvarka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metilinto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hidroksietil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hidroksipropil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(t. y. 2-hidroksipropil-beta-ciklodekstrin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r w:rsidRPr="003375BE">
        <w:rPr>
          <w:rFonts w:ascii="Helvetica" w:hAnsi="Helvetica" w:cs="Arial"/>
          <w:sz w:val="20"/>
          <w:szCs w:val="24"/>
          <w:lang w:val="lt-LT"/>
        </w:rPr>
        <w:t>, 3-hidroksipropil-beta-ciklodekstrin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arba 2,3-dihidroksipropil-beta-ciklodekstrin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),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hidroksiizobutil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sulfobutileteri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29749A"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29749A" w:rsidRPr="003375BE">
        <w:rPr>
          <w:rFonts w:ascii="Helvetica" w:hAnsi="Helvetica" w:cs="Arial"/>
          <w:sz w:val="20"/>
          <w:szCs w:val="24"/>
          <w:lang w:val="lt-LT"/>
        </w:rPr>
        <w:t>gliukozil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-beta-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,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9749A" w:rsidRPr="003375BE">
        <w:rPr>
          <w:rFonts w:ascii="Helvetica" w:hAnsi="Helvetica" w:cs="Arial"/>
          <w:sz w:val="20"/>
          <w:szCs w:val="24"/>
          <w:lang w:val="lt-LT"/>
        </w:rPr>
        <w:t>maltozil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-beta-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9749A"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="0029749A" w:rsidRPr="003375BE">
        <w:rPr>
          <w:rFonts w:ascii="Helvetica" w:hAnsi="Helvetica" w:cs="Arial"/>
          <w:sz w:val="20"/>
          <w:szCs w:val="24"/>
          <w:lang w:val="lt-LT"/>
        </w:rPr>
        <w:t>,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gama-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hidroksipropil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-gama-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(t. y. 2-hidroksipropil-gama-ciklodekstrin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r w:rsidRPr="003375BE">
        <w:rPr>
          <w:rFonts w:ascii="Helvetica" w:hAnsi="Helvetica" w:cs="Arial"/>
          <w:sz w:val="20"/>
          <w:szCs w:val="24"/>
          <w:lang w:val="lt-LT"/>
        </w:rPr>
        <w:t>, 3-hidroksipropil-gama-ciklodekstrin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arba 2,3-dihidroksipropil-gama-ciklodekstrin</w:t>
      </w:r>
      <w:r w:rsidR="0029749A" w:rsidRPr="003375BE">
        <w:rPr>
          <w:rFonts w:ascii="Helvetica" w:hAnsi="Helvetica" w:cs="Arial"/>
          <w:sz w:val="20"/>
          <w:szCs w:val="24"/>
          <w:lang w:val="lt-LT"/>
        </w:rPr>
        <w:t>o</w:t>
      </w:r>
      <w:r w:rsidRPr="003375BE">
        <w:rPr>
          <w:rFonts w:ascii="Helvetica" w:hAnsi="Helvetica" w:cs="Arial"/>
          <w:sz w:val="20"/>
          <w:szCs w:val="24"/>
          <w:lang w:val="lt-LT"/>
        </w:rPr>
        <w:t>), polimer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ų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kurių sudėtyje yra </w:t>
      </w:r>
      <w:proofErr w:type="spellStart"/>
      <w:r w:rsidR="0072141D" w:rsidRPr="003375BE">
        <w:rPr>
          <w:rFonts w:ascii="Helvetica" w:hAnsi="Helvetica" w:cs="Arial"/>
          <w:sz w:val="20"/>
          <w:szCs w:val="24"/>
          <w:lang w:val="lt-LT"/>
        </w:rPr>
        <w:t>ciklodekstrinų</w:t>
      </w:r>
      <w:proofErr w:type="spellEnd"/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, pasirinktinai,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kur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yra parinktas iš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hidroksipropil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-gama-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.</w:t>
      </w:r>
    </w:p>
    <w:p w14:paraId="0355A795" w14:textId="77777777" w:rsidR="0072141D" w:rsidRPr="003375BE" w:rsidRDefault="0072141D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1D2F40" w14:textId="28C50E19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9.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Skysta vaisto forma pagal bet kurį iš ankstesnių punktų, kur:</w:t>
      </w:r>
    </w:p>
    <w:p w14:paraId="25AA6658" w14:textId="30904483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lastRenderedPageBreak/>
        <w:t xml:space="preserve">(i)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vaisto forma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apima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nuo 1 mg/ml iki 200 mg/ml antikūno, nuo 10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iki 55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natrio acetato, nuo 0 iki 14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kalcio acetato, nuo 0 iki 6 % sacharozės, nuo 0 iki 0,006 %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polisorbato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20, nuo 55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iki 80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hidroksipropil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-gama-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nuo 55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iki 160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metionino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pH vertei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esant 5,2, pasirinktinai, kur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vaisto forma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apima nuo 90 mg/ml iki 180 mg/ml,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pageidautina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nuo 120 mg/ml iki 180 mg/ml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romosozumabo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; ir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3375BE">
        <w:rPr>
          <w:rFonts w:ascii="Helvetica" w:hAnsi="Helvetica" w:cs="Arial"/>
          <w:sz w:val="20"/>
          <w:szCs w:val="24"/>
          <w:lang w:val="lt-LT"/>
        </w:rPr>
        <w:t>arba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)</w:t>
      </w:r>
    </w:p>
    <w:p w14:paraId="15250B5F" w14:textId="031DE16B" w:rsidR="00B96506" w:rsidRPr="003375BE" w:rsidRDefault="0072141D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(</w:t>
      </w:r>
      <w:r w:rsidR="00B96506" w:rsidRPr="003375BE">
        <w:rPr>
          <w:rFonts w:ascii="Helvetica" w:hAnsi="Helvetica" w:cs="Arial"/>
          <w:sz w:val="20"/>
          <w:szCs w:val="24"/>
          <w:lang w:val="lt-LT"/>
        </w:rPr>
        <w:t xml:space="preserve">ii) </w:t>
      </w:r>
      <w:r w:rsidRPr="003375BE">
        <w:rPr>
          <w:rFonts w:ascii="Helvetica" w:hAnsi="Helvetica" w:cs="Arial"/>
          <w:sz w:val="20"/>
          <w:szCs w:val="24"/>
          <w:lang w:val="lt-LT"/>
        </w:rPr>
        <w:t>s</w:t>
      </w:r>
      <w:r w:rsidR="00B96506" w:rsidRPr="003375BE">
        <w:rPr>
          <w:rFonts w:ascii="Helvetica" w:hAnsi="Helvetica" w:cs="Arial"/>
          <w:sz w:val="20"/>
          <w:szCs w:val="24"/>
          <w:lang w:val="lt-LT"/>
        </w:rPr>
        <w:t xml:space="preserve">kysta vaisto forma nėra </w:t>
      </w:r>
      <w:proofErr w:type="spellStart"/>
      <w:r w:rsidR="00B96506" w:rsidRPr="003375BE">
        <w:rPr>
          <w:rFonts w:ascii="Helvetica" w:hAnsi="Helvetica" w:cs="Arial"/>
          <w:sz w:val="20"/>
          <w:szCs w:val="24"/>
          <w:lang w:val="lt-LT"/>
        </w:rPr>
        <w:t>hidrogelis</w:t>
      </w:r>
      <w:proofErr w:type="spellEnd"/>
      <w:r w:rsidR="00B96506" w:rsidRPr="003375BE">
        <w:rPr>
          <w:rFonts w:ascii="Helvetica" w:hAnsi="Helvetica" w:cs="Arial"/>
          <w:sz w:val="20"/>
          <w:szCs w:val="24"/>
          <w:lang w:val="lt-LT"/>
        </w:rPr>
        <w:t xml:space="preserve">; </w:t>
      </w:r>
      <w:r w:rsidRPr="003375BE">
        <w:rPr>
          <w:rFonts w:ascii="Helvetica" w:hAnsi="Helvetica" w:cs="Arial"/>
          <w:sz w:val="20"/>
          <w:szCs w:val="24"/>
          <w:lang w:val="lt-LT"/>
        </w:rPr>
        <w:t>ir (arba)</w:t>
      </w:r>
    </w:p>
    <w:p w14:paraId="49320757" w14:textId="59BFEBB3" w:rsidR="00B96506" w:rsidRPr="003375BE" w:rsidRDefault="00B96506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(iii) skyst</w:t>
      </w:r>
      <w:r w:rsidR="00EB7415">
        <w:rPr>
          <w:rFonts w:ascii="Helvetica" w:hAnsi="Helvetica" w:cs="Arial"/>
          <w:sz w:val="20"/>
          <w:szCs w:val="24"/>
          <w:lang w:val="lt-LT"/>
        </w:rPr>
        <w:t>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vaisto forma apima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bent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2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bent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5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bent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10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%, 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>bent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25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%, nuo 2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% iki 90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%, nuo 2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% iki 75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% arba nuo 2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% iki 50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% vandens.</w:t>
      </w:r>
    </w:p>
    <w:p w14:paraId="2F92858A" w14:textId="77777777" w:rsidR="0072141D" w:rsidRPr="003375BE" w:rsidRDefault="0072141D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456071" w14:textId="1A246C44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10.</w:t>
      </w:r>
      <w:r w:rsidR="0072141D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Skysta vaisto forma pagal bet kurį iš ankstesnių punktų, skirta naudoti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 gydant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kaulų sutrikim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ą</w:t>
      </w:r>
      <w:r w:rsidRPr="003375BE">
        <w:rPr>
          <w:rFonts w:ascii="Helvetica" w:hAnsi="Helvetica" w:cs="Arial"/>
          <w:sz w:val="20"/>
          <w:szCs w:val="24"/>
          <w:lang w:val="lt-LT"/>
        </w:rPr>
        <w:t>, susijus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į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su m</w:t>
      </w:r>
      <w:r w:rsidR="00BD7E27" w:rsidRPr="003375BE">
        <w:rPr>
          <w:rFonts w:ascii="Helvetica" w:hAnsi="Helvetica" w:cs="Arial"/>
          <w:sz w:val="20"/>
          <w:szCs w:val="24"/>
          <w:lang w:val="lt-LT"/>
        </w:rPr>
        <w:t>enku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kaulų formavimusi, mažu kaulų mineralų tankiu, mažu kaulų mineralų kiekiu, maža kaulų mas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e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, žema kaulo kokybe ir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mažu kaulo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tvirtumu</w:t>
      </w:r>
      <w:r w:rsidRPr="003375BE">
        <w:rPr>
          <w:rFonts w:ascii="Helvetica" w:hAnsi="Helvetica" w:cs="Arial"/>
          <w:sz w:val="20"/>
          <w:szCs w:val="24"/>
          <w:lang w:val="lt-LT"/>
        </w:rPr>
        <w:t>.</w:t>
      </w:r>
    </w:p>
    <w:p w14:paraId="57ED26BC" w14:textId="77777777" w:rsidR="00050629" w:rsidRPr="003375BE" w:rsidRDefault="00050629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A9E139" w14:textId="0C68AB2C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11.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Skysta vaisto forma, skirta naudoti pagal 9 punktą, kur kaulų sutrikimas yra osteoporozė.</w:t>
      </w:r>
    </w:p>
    <w:p w14:paraId="688798D6" w14:textId="77777777" w:rsidR="00050629" w:rsidRPr="003375BE" w:rsidRDefault="00050629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25C24EB" w14:textId="78C43C0A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12.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Antikūno arba antigeną rišančio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fragmento nusodinimo skystoje farmacinėje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vaisto formoje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mažinimo būdas, apimantis skystos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vaisto formos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pateikimą ir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pridėjimą į vaisto formą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metionino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kurio koncentracija yra nuo 30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iki 200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ir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ciklodekstrino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, kurio koncentracija yra nuo 7,5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iki 250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mM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.</w:t>
      </w:r>
    </w:p>
    <w:p w14:paraId="4CE10E62" w14:textId="77777777" w:rsidR="00050629" w:rsidRPr="003375BE" w:rsidRDefault="00050629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2186AA" w14:textId="4C1E84C1" w:rsidR="00B96506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13.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Būdas pagal 12 punktą, kur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hidroksipropil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-gama-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ciklodekstrinas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>.</w:t>
      </w:r>
    </w:p>
    <w:p w14:paraId="728188C5" w14:textId="77777777" w:rsidR="00050629" w:rsidRPr="003375BE" w:rsidRDefault="00050629" w:rsidP="003375BE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A9BCFC" w14:textId="740ED3FB" w:rsidR="00B67649" w:rsidRPr="003375BE" w:rsidRDefault="00B96506" w:rsidP="003375BE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3375BE">
        <w:rPr>
          <w:rFonts w:ascii="Helvetica" w:hAnsi="Helvetica" w:cs="Arial"/>
          <w:sz w:val="20"/>
          <w:szCs w:val="24"/>
          <w:lang w:val="lt-LT"/>
        </w:rPr>
        <w:t>14.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veiksmingas kiekis kompozicijos pagal bet kurį iš 1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>-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9 punktų, skirtas naudoti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3375BE">
        <w:rPr>
          <w:rFonts w:ascii="Helvetica" w:hAnsi="Helvetica" w:cs="Arial"/>
          <w:sz w:val="20"/>
          <w:szCs w:val="24"/>
          <w:lang w:val="lt-LT"/>
        </w:rPr>
        <w:t>subjekto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 žinduolio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uždegimo injekcijos vietoje mažinimo būd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ą</w:t>
      </w:r>
      <w:r w:rsidRPr="003375BE">
        <w:rPr>
          <w:rFonts w:ascii="Helvetica" w:hAnsi="Helvetica" w:cs="Arial"/>
          <w:sz w:val="20"/>
          <w:szCs w:val="24"/>
          <w:lang w:val="lt-LT"/>
        </w:rPr>
        <w:t>, apiman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 xml:space="preserve">tį </w:t>
      </w:r>
      <w:proofErr w:type="spellStart"/>
      <w:r w:rsidRPr="003375BE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Pr="003375BE">
        <w:rPr>
          <w:rFonts w:ascii="Helvetica" w:hAnsi="Helvetica" w:cs="Arial"/>
          <w:sz w:val="20"/>
          <w:szCs w:val="24"/>
          <w:lang w:val="lt-LT"/>
        </w:rPr>
        <w:t xml:space="preserve"> veiksmingo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vaisto formos</w:t>
      </w:r>
      <w:r w:rsidRPr="003375BE">
        <w:rPr>
          <w:rFonts w:ascii="Helvetica" w:hAnsi="Helvetica" w:cs="Arial"/>
          <w:sz w:val="20"/>
          <w:szCs w:val="24"/>
          <w:lang w:val="lt-LT"/>
        </w:rPr>
        <w:t xml:space="preserve"> kiekio </w:t>
      </w:r>
      <w:r w:rsidR="00050629" w:rsidRPr="003375BE">
        <w:rPr>
          <w:rFonts w:ascii="Helvetica" w:hAnsi="Helvetica" w:cs="Arial"/>
          <w:sz w:val="20"/>
          <w:szCs w:val="24"/>
          <w:lang w:val="lt-LT"/>
        </w:rPr>
        <w:t>įved</w:t>
      </w:r>
      <w:r w:rsidRPr="003375BE">
        <w:rPr>
          <w:rFonts w:ascii="Helvetica" w:hAnsi="Helvetica" w:cs="Arial"/>
          <w:sz w:val="20"/>
          <w:szCs w:val="24"/>
          <w:lang w:val="lt-LT"/>
        </w:rPr>
        <w:t>imą.</w:t>
      </w:r>
    </w:p>
    <w:sectPr w:rsidR="00B67649" w:rsidRPr="003375BE" w:rsidSect="003375B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DBDA" w14:textId="77777777" w:rsidR="000660AE" w:rsidRDefault="000660AE" w:rsidP="007B0A41">
      <w:pPr>
        <w:spacing w:after="0" w:line="240" w:lineRule="auto"/>
      </w:pPr>
      <w:r>
        <w:separator/>
      </w:r>
    </w:p>
  </w:endnote>
  <w:endnote w:type="continuationSeparator" w:id="0">
    <w:p w14:paraId="11AE63C5" w14:textId="77777777" w:rsidR="000660AE" w:rsidRDefault="000660AE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7828" w14:textId="77777777" w:rsidR="000660AE" w:rsidRDefault="000660AE" w:rsidP="007B0A41">
      <w:pPr>
        <w:spacing w:after="0" w:line="240" w:lineRule="auto"/>
      </w:pPr>
      <w:r>
        <w:separator/>
      </w:r>
    </w:p>
  </w:footnote>
  <w:footnote w:type="continuationSeparator" w:id="0">
    <w:p w14:paraId="6BA7AE9B" w14:textId="77777777" w:rsidR="000660AE" w:rsidRDefault="000660AE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660AE"/>
    <w:rsid w:val="00070D8A"/>
    <w:rsid w:val="000816AE"/>
    <w:rsid w:val="00092D0B"/>
    <w:rsid w:val="00120AC9"/>
    <w:rsid w:val="00121D84"/>
    <w:rsid w:val="001308ED"/>
    <w:rsid w:val="00145EBC"/>
    <w:rsid w:val="001668DF"/>
    <w:rsid w:val="00171183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375BE"/>
    <w:rsid w:val="0035085F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57339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0E1E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2A35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A336B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B7415"/>
    <w:rsid w:val="00EC3343"/>
    <w:rsid w:val="00EC59E2"/>
    <w:rsid w:val="00EC720C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78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2803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2023-06-05T05:23:00Z</dcterms:created>
  <dcterms:modified xsi:type="dcterms:W3CDTF">2023-06-15T07:16:00Z</dcterms:modified>
</cp:coreProperties>
</file>