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813F" w14:textId="32FBAC88" w:rsidR="00D415DF" w:rsidRPr="00702D1B" w:rsidRDefault="004863FC" w:rsidP="00702D1B">
      <w:pPr>
        <w:spacing w:after="0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>1. Terapinis derinys, apimantis (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trans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)-N1-((1R,2S)-2-fenilciklopropil)cikloheksan-1,4-diaminą arba farmaciniu požiūriu priimtiną jo druską, ir vieną arba daugiau veikliųjų farmacinių </w:t>
      </w:r>
      <w:r w:rsidR="0096288C" w:rsidRPr="00702D1B">
        <w:rPr>
          <w:rFonts w:ascii="Helvetica" w:hAnsi="Helvetica" w:cs="Arial"/>
          <w:sz w:val="20"/>
          <w:szCs w:val="24"/>
          <w:lang w:val="lt-LT"/>
        </w:rPr>
        <w:t>medžiag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ų, pasirinktų iš BCL2 inhibitorių, BET inhibitorių, EZH2 inhibitorių, DNR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alkilinančių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agentų,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topoizomerazės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inhibitorių,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belinostato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infig</w:t>
      </w:r>
      <w:r w:rsidR="0096288C" w:rsidRPr="00702D1B">
        <w:rPr>
          <w:rFonts w:ascii="Helvetica" w:hAnsi="Helvetica" w:cs="Arial"/>
          <w:sz w:val="20"/>
          <w:szCs w:val="24"/>
          <w:lang w:val="lt-LT"/>
        </w:rPr>
        <w:t>r</w:t>
      </w:r>
      <w:r w:rsidRPr="00702D1B">
        <w:rPr>
          <w:rFonts w:ascii="Helvetica" w:hAnsi="Helvetica" w:cs="Arial"/>
          <w:sz w:val="20"/>
          <w:szCs w:val="24"/>
          <w:lang w:val="lt-LT"/>
        </w:rPr>
        <w:t>atinibo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(BGJ398),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docetakselio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doksorubicino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pinometostato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(EPZ-5676),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gemcitabino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lapatinibo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, LY2603618, MLN8237,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panobinostato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, SGC 0946,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vinkristino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ir farmaciniu požiūriu priimtinų jų druskų.</w:t>
      </w:r>
    </w:p>
    <w:p w14:paraId="42EE1957" w14:textId="77777777" w:rsidR="00D415DF" w:rsidRPr="00702D1B" w:rsidRDefault="00D415DF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8DDC53A" w14:textId="77777777" w:rsidR="00702D1B" w:rsidRPr="00702D1B" w:rsidRDefault="004863FC" w:rsidP="00702D1B">
      <w:pPr>
        <w:spacing w:after="0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>2.</w:t>
      </w:r>
      <w:r w:rsidR="0069333D" w:rsidRPr="00702D1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702D1B">
        <w:rPr>
          <w:rFonts w:ascii="Helvetica" w:hAnsi="Helvetica" w:cs="Arial"/>
          <w:sz w:val="20"/>
          <w:szCs w:val="24"/>
          <w:lang w:val="lt-LT"/>
        </w:rPr>
        <w:t>Terapinis derinys pagal 1 punktą, apimantis (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trans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>)-N1-((1R,2S)-2-fenilciklopropil)cikloheksan-1,4-diaminą arba farmaciniu požiūriu priimtiną jo druską ir vieną BCL2 inhibitorių arba farmaciniu požiūriu priimtiną jo druską.</w:t>
      </w:r>
    </w:p>
    <w:p w14:paraId="36CC470E" w14:textId="220E479B" w:rsidR="0096288C" w:rsidRPr="00702D1B" w:rsidRDefault="0096288C" w:rsidP="00702D1B">
      <w:pPr>
        <w:tabs>
          <w:tab w:val="left" w:pos="280"/>
          <w:tab w:val="left" w:pos="6540"/>
        </w:tabs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0EF2B4E" w14:textId="7F3F9C4C" w:rsidR="00D415DF" w:rsidRPr="00702D1B" w:rsidRDefault="004863FC" w:rsidP="00702D1B">
      <w:pPr>
        <w:spacing w:after="0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>3. Terapinis derinys pagal 1 punktą, apimantis (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trans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)-N1-((1R,2S)-2-fenilciklopropil)cikloheksan-1,4-diaminą arba farmaciniu požiūriu priimtiną jo druską ir vieną BCL2 inhibitorių, pasirinktą iš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venetoklakso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(ABT-199),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navitoklakso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(ABT-263), ABT-737,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obatoklakso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>, TW-37, arba farmaciniu požiūriu priimtin</w:t>
      </w:r>
      <w:r w:rsidR="0069333D" w:rsidRPr="00702D1B">
        <w:rPr>
          <w:rFonts w:ascii="Helvetica" w:hAnsi="Helvetica" w:cs="Arial"/>
          <w:sz w:val="20"/>
          <w:szCs w:val="24"/>
          <w:lang w:val="lt-LT"/>
        </w:rPr>
        <w:t>ą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 jo drusk</w:t>
      </w:r>
      <w:r w:rsidR="0069333D" w:rsidRPr="00702D1B">
        <w:rPr>
          <w:rFonts w:ascii="Helvetica" w:hAnsi="Helvetica" w:cs="Arial"/>
          <w:sz w:val="20"/>
          <w:szCs w:val="24"/>
          <w:lang w:val="lt-LT"/>
        </w:rPr>
        <w:t>ą</w:t>
      </w:r>
      <w:r w:rsidRPr="00702D1B">
        <w:rPr>
          <w:rFonts w:ascii="Helvetica" w:hAnsi="Helvetica" w:cs="Arial"/>
          <w:sz w:val="20"/>
          <w:szCs w:val="24"/>
          <w:lang w:val="lt-LT"/>
        </w:rPr>
        <w:t>.</w:t>
      </w:r>
    </w:p>
    <w:p w14:paraId="625D0CB3" w14:textId="77777777" w:rsidR="00D415DF" w:rsidRPr="00702D1B" w:rsidRDefault="00D415DF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6BD262A" w14:textId="77777777" w:rsidR="00D415DF" w:rsidRPr="00702D1B" w:rsidRDefault="004863FC" w:rsidP="00702D1B">
      <w:pPr>
        <w:spacing w:after="0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>4. Terapinis derinys pagal 1 punktą, apimantis (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trans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)-N1-((1R,2S)-2-fenilciklopropil)cikloheksan-1,4-diaminą arba farmaciniu požiūriu priimtiną jo druską ir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venetoklaksą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(ABT-199) arba farmaciniu požiūriu priimtiną jo druską.</w:t>
      </w:r>
    </w:p>
    <w:p w14:paraId="416DEBC1" w14:textId="77777777" w:rsidR="00D415DF" w:rsidRPr="00702D1B" w:rsidRDefault="00D415DF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0FA246E" w14:textId="77777777" w:rsidR="00D415DF" w:rsidRPr="00702D1B" w:rsidRDefault="004863FC" w:rsidP="00702D1B">
      <w:pPr>
        <w:spacing w:after="0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>5. Terapinis derinys pagal 1 punktą, apimantis (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trans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>)-N1-((1R,2S)-2-fenilciklopropil)cikloheksan-1,4-diaminą arba farmaciniu požiūriu priimtiną jo druską ir:</w:t>
      </w:r>
    </w:p>
    <w:p w14:paraId="07545739" w14:textId="540BC4B5" w:rsidR="00D415DF" w:rsidRPr="00702D1B" w:rsidRDefault="004863FC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 xml:space="preserve">(a) vieną BET inhibitorių, pasirinktą iš CPI-203, GSK1324726A, GSK1210151A, (+)-JQ1, MS 436, OTX015 </w:t>
      </w:r>
      <w:r w:rsidR="00B763EB" w:rsidRPr="00702D1B">
        <w:rPr>
          <w:rFonts w:ascii="Helvetica" w:hAnsi="Helvetica" w:cs="Arial"/>
          <w:sz w:val="20"/>
          <w:szCs w:val="24"/>
          <w:lang w:val="lt-LT"/>
        </w:rPr>
        <w:t>arba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 farmaciniu požiūriu priimtin</w:t>
      </w:r>
      <w:r w:rsidR="00B763EB" w:rsidRPr="00702D1B">
        <w:rPr>
          <w:rFonts w:ascii="Helvetica" w:hAnsi="Helvetica" w:cs="Arial"/>
          <w:sz w:val="20"/>
          <w:szCs w:val="24"/>
          <w:lang w:val="lt-LT"/>
        </w:rPr>
        <w:t>ą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 jo drusk</w:t>
      </w:r>
      <w:r w:rsidR="00B763EB" w:rsidRPr="00702D1B">
        <w:rPr>
          <w:rFonts w:ascii="Helvetica" w:hAnsi="Helvetica" w:cs="Arial"/>
          <w:sz w:val="20"/>
          <w:szCs w:val="24"/>
          <w:lang w:val="lt-LT"/>
        </w:rPr>
        <w:t>ą</w:t>
      </w:r>
      <w:r w:rsidRPr="00702D1B">
        <w:rPr>
          <w:rFonts w:ascii="Helvetica" w:hAnsi="Helvetica" w:cs="Arial"/>
          <w:sz w:val="20"/>
          <w:szCs w:val="24"/>
          <w:lang w:val="lt-LT"/>
        </w:rPr>
        <w:t>; arba</w:t>
      </w:r>
    </w:p>
    <w:p w14:paraId="49A2CF38" w14:textId="73A8D0F4" w:rsidR="00D415DF" w:rsidRPr="00702D1B" w:rsidRDefault="004863FC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 xml:space="preserve">(b) vieną EZH2 inhibitorių, pasirinktą iš CPI-169, EPZ005687,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tazemetostato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(EPZ-6438), GSK126 </w:t>
      </w:r>
      <w:r w:rsidR="00B763EB" w:rsidRPr="00702D1B">
        <w:rPr>
          <w:rFonts w:ascii="Helvetica" w:hAnsi="Helvetica" w:cs="Arial"/>
          <w:sz w:val="20"/>
          <w:szCs w:val="24"/>
          <w:lang w:val="lt-LT"/>
        </w:rPr>
        <w:t>arba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 farmaciniu požiūriu priimtin</w:t>
      </w:r>
      <w:r w:rsidR="00B763EB" w:rsidRPr="00702D1B">
        <w:rPr>
          <w:rFonts w:ascii="Helvetica" w:hAnsi="Helvetica" w:cs="Arial"/>
          <w:sz w:val="20"/>
          <w:szCs w:val="24"/>
          <w:lang w:val="lt-LT"/>
        </w:rPr>
        <w:t>ą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 jo drusk</w:t>
      </w:r>
      <w:r w:rsidR="00B763EB" w:rsidRPr="00702D1B">
        <w:rPr>
          <w:rFonts w:ascii="Helvetica" w:hAnsi="Helvetica" w:cs="Arial"/>
          <w:sz w:val="20"/>
          <w:szCs w:val="24"/>
          <w:lang w:val="lt-LT"/>
        </w:rPr>
        <w:t>ą</w:t>
      </w:r>
      <w:r w:rsidRPr="00702D1B">
        <w:rPr>
          <w:rFonts w:ascii="Helvetica" w:hAnsi="Helvetica" w:cs="Arial"/>
          <w:sz w:val="20"/>
          <w:szCs w:val="24"/>
          <w:lang w:val="lt-LT"/>
        </w:rPr>
        <w:t>; arba</w:t>
      </w:r>
    </w:p>
    <w:p w14:paraId="05F462F3" w14:textId="02822AD2" w:rsidR="00D415DF" w:rsidRPr="00702D1B" w:rsidRDefault="004863FC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 xml:space="preserve">(c) vieną DNR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alkilinantį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agentą, pasirinktą iš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bendamustino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karboplatinos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cisplatinos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temozolomido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763EB" w:rsidRPr="00702D1B">
        <w:rPr>
          <w:rFonts w:ascii="Helvetica" w:hAnsi="Helvetica" w:cs="Arial"/>
          <w:sz w:val="20"/>
          <w:szCs w:val="24"/>
          <w:lang w:val="lt-LT"/>
        </w:rPr>
        <w:t>arba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 farmaciniu požiūriu priimtin</w:t>
      </w:r>
      <w:r w:rsidR="00B763EB" w:rsidRPr="00702D1B">
        <w:rPr>
          <w:rFonts w:ascii="Helvetica" w:hAnsi="Helvetica" w:cs="Arial"/>
          <w:sz w:val="20"/>
          <w:szCs w:val="24"/>
          <w:lang w:val="lt-LT"/>
        </w:rPr>
        <w:t>ą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 jo drusk</w:t>
      </w:r>
      <w:r w:rsidR="00B763EB" w:rsidRPr="00702D1B">
        <w:rPr>
          <w:rFonts w:ascii="Helvetica" w:hAnsi="Helvetica" w:cs="Arial"/>
          <w:sz w:val="20"/>
          <w:szCs w:val="24"/>
          <w:lang w:val="lt-LT"/>
        </w:rPr>
        <w:t>ą</w:t>
      </w:r>
      <w:r w:rsidRPr="00702D1B">
        <w:rPr>
          <w:rFonts w:ascii="Helvetica" w:hAnsi="Helvetica" w:cs="Arial"/>
          <w:sz w:val="20"/>
          <w:szCs w:val="24"/>
          <w:lang w:val="lt-LT"/>
        </w:rPr>
        <w:t>; arba</w:t>
      </w:r>
    </w:p>
    <w:p w14:paraId="0B84C252" w14:textId="549DB254" w:rsidR="00D415DF" w:rsidRPr="00702D1B" w:rsidRDefault="004863FC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 xml:space="preserve">(d) vieną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topoizomerazės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inhibitorių, pasirinktą iš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etopozido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irinotekano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topotekano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763EB" w:rsidRPr="00702D1B">
        <w:rPr>
          <w:rFonts w:ascii="Helvetica" w:hAnsi="Helvetica" w:cs="Arial"/>
          <w:sz w:val="20"/>
          <w:szCs w:val="24"/>
          <w:lang w:val="lt-LT"/>
        </w:rPr>
        <w:t>a</w:t>
      </w:r>
      <w:r w:rsidRPr="00702D1B">
        <w:rPr>
          <w:rFonts w:ascii="Helvetica" w:hAnsi="Helvetica" w:cs="Arial"/>
          <w:sz w:val="20"/>
          <w:szCs w:val="24"/>
          <w:lang w:val="lt-LT"/>
        </w:rPr>
        <w:t>r</w:t>
      </w:r>
      <w:r w:rsidR="00B763EB" w:rsidRPr="00702D1B">
        <w:rPr>
          <w:rFonts w:ascii="Helvetica" w:hAnsi="Helvetica" w:cs="Arial"/>
          <w:sz w:val="20"/>
          <w:szCs w:val="24"/>
          <w:lang w:val="lt-LT"/>
        </w:rPr>
        <w:t>ba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 farmaciniu požiūriu priimtin</w:t>
      </w:r>
      <w:r w:rsidR="00B763EB" w:rsidRPr="00702D1B">
        <w:rPr>
          <w:rFonts w:ascii="Helvetica" w:hAnsi="Helvetica" w:cs="Arial"/>
          <w:sz w:val="20"/>
          <w:szCs w:val="24"/>
          <w:lang w:val="lt-LT"/>
        </w:rPr>
        <w:t>ą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 jo drusk</w:t>
      </w:r>
      <w:r w:rsidR="00B763EB" w:rsidRPr="00702D1B">
        <w:rPr>
          <w:rFonts w:ascii="Helvetica" w:hAnsi="Helvetica" w:cs="Arial"/>
          <w:sz w:val="20"/>
          <w:szCs w:val="24"/>
          <w:lang w:val="lt-LT"/>
        </w:rPr>
        <w:t>ą</w:t>
      </w:r>
      <w:r w:rsidRPr="00702D1B">
        <w:rPr>
          <w:rFonts w:ascii="Helvetica" w:hAnsi="Helvetica" w:cs="Arial"/>
          <w:sz w:val="20"/>
          <w:szCs w:val="24"/>
          <w:lang w:val="lt-LT"/>
        </w:rPr>
        <w:t>.</w:t>
      </w:r>
    </w:p>
    <w:p w14:paraId="74D433EE" w14:textId="77777777" w:rsidR="0069333D" w:rsidRPr="00702D1B" w:rsidRDefault="0069333D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779A2FD" w14:textId="2EDF3238" w:rsidR="00D415DF" w:rsidRPr="00702D1B" w:rsidRDefault="004863FC" w:rsidP="00702D1B">
      <w:pPr>
        <w:spacing w:after="0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>6. Terapinis derinys pagal bet kurį iš 1 - 5 punktų, kur terapinis derinys apima (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trans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)-N1-((1R,2S)-2-fenilciklopropil)cikloheksan-1,4-diamino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bishidrochloridą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>.</w:t>
      </w:r>
    </w:p>
    <w:p w14:paraId="106EC71D" w14:textId="77777777" w:rsidR="00D415DF" w:rsidRPr="00702D1B" w:rsidRDefault="00D415DF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4D9591D" w14:textId="77777777" w:rsidR="00D415DF" w:rsidRPr="00702D1B" w:rsidRDefault="004863FC" w:rsidP="00702D1B">
      <w:pPr>
        <w:spacing w:after="0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>7. Farmacinė kompozicija, apimanti terapinį derinį pagal bet kurį iš 1 - 6 punktų ir vieną arba daugiau farmaciniu požiūriu priimtinų pagalbinių medžiagų.</w:t>
      </w:r>
    </w:p>
    <w:p w14:paraId="213C5C25" w14:textId="77777777" w:rsidR="00D415DF" w:rsidRPr="00702D1B" w:rsidRDefault="00D415DF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3A7AA2B" w14:textId="37932F3A" w:rsidR="00D415DF" w:rsidRPr="00702D1B" w:rsidRDefault="004863FC" w:rsidP="00702D1B">
      <w:pPr>
        <w:spacing w:after="0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>8. Gaminys, apimantis terapinį derinį pagal bet kurį iš 1 - 6 punktų,</w:t>
      </w:r>
      <w:r w:rsidR="00B763EB" w:rsidRPr="00702D1B">
        <w:rPr>
          <w:rFonts w:ascii="Helvetica" w:hAnsi="Helvetica" w:cs="Arial"/>
          <w:sz w:val="20"/>
          <w:szCs w:val="24"/>
          <w:lang w:val="lt-LT"/>
        </w:rPr>
        <w:t xml:space="preserve"> tinkamą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neoplastinės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ligos gydymui.</w:t>
      </w:r>
    </w:p>
    <w:p w14:paraId="72380C55" w14:textId="77777777" w:rsidR="00D415DF" w:rsidRPr="00702D1B" w:rsidRDefault="00D415DF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B3E1B7A" w14:textId="15A7EEC5" w:rsidR="00D415DF" w:rsidRPr="00702D1B" w:rsidRDefault="004863FC" w:rsidP="00702D1B">
      <w:pPr>
        <w:spacing w:after="0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 xml:space="preserve">9. Terapinis derinys pagal bet kurį iš 1 - 6 punktų, skirtas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neoplastin</w:t>
      </w:r>
      <w:r w:rsidR="00B763EB" w:rsidRPr="00702D1B">
        <w:rPr>
          <w:rFonts w:ascii="Helvetica" w:hAnsi="Helvetica" w:cs="Arial"/>
          <w:sz w:val="20"/>
          <w:szCs w:val="24"/>
          <w:lang w:val="lt-LT"/>
        </w:rPr>
        <w:t>ės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lig</w:t>
      </w:r>
      <w:r w:rsidR="00B763EB" w:rsidRPr="00702D1B">
        <w:rPr>
          <w:rFonts w:ascii="Helvetica" w:hAnsi="Helvetica" w:cs="Arial"/>
          <w:sz w:val="20"/>
          <w:szCs w:val="24"/>
          <w:lang w:val="lt-LT"/>
        </w:rPr>
        <w:t>os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 gydymui.</w:t>
      </w:r>
    </w:p>
    <w:p w14:paraId="48B1083D" w14:textId="77777777" w:rsidR="00D415DF" w:rsidRPr="00702D1B" w:rsidRDefault="00D415DF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A95DBCF" w14:textId="066D16E1" w:rsidR="00D415DF" w:rsidRPr="00702D1B" w:rsidRDefault="004863FC" w:rsidP="00702D1B">
      <w:pPr>
        <w:spacing w:after="0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 xml:space="preserve">10. Terapinis derinys, skirtas naudoti pagal 9 punktą, kur minėtas terapinis derinys yra </w:t>
      </w:r>
      <w:r w:rsidR="00B763EB" w:rsidRPr="00702D1B">
        <w:rPr>
          <w:rFonts w:ascii="Helvetica" w:hAnsi="Helvetica" w:cs="Arial"/>
          <w:sz w:val="20"/>
          <w:szCs w:val="24"/>
          <w:lang w:val="lt-LT"/>
        </w:rPr>
        <w:t>skiriamas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763EB" w:rsidRPr="00702D1B">
        <w:rPr>
          <w:rFonts w:ascii="Helvetica" w:hAnsi="Helvetica" w:cs="Arial"/>
          <w:sz w:val="20"/>
          <w:szCs w:val="24"/>
          <w:lang w:val="lt-LT"/>
        </w:rPr>
        <w:t>tuo pačiu metu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 arba nuosekl</w:t>
      </w:r>
      <w:r w:rsidR="00B763EB" w:rsidRPr="00702D1B">
        <w:rPr>
          <w:rFonts w:ascii="Helvetica" w:hAnsi="Helvetica" w:cs="Arial"/>
          <w:sz w:val="20"/>
          <w:szCs w:val="24"/>
          <w:lang w:val="lt-LT"/>
        </w:rPr>
        <w:t>iu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 režim</w:t>
      </w:r>
      <w:r w:rsidR="008B0C26" w:rsidRPr="00702D1B">
        <w:rPr>
          <w:rFonts w:ascii="Helvetica" w:hAnsi="Helvetica" w:cs="Arial"/>
          <w:sz w:val="20"/>
          <w:szCs w:val="24"/>
          <w:lang w:val="lt-LT"/>
        </w:rPr>
        <w:t>u</w:t>
      </w:r>
      <w:r w:rsidRPr="00702D1B">
        <w:rPr>
          <w:rFonts w:ascii="Helvetica" w:hAnsi="Helvetica" w:cs="Arial"/>
          <w:sz w:val="20"/>
          <w:szCs w:val="24"/>
          <w:lang w:val="lt-LT"/>
        </w:rPr>
        <w:t>.</w:t>
      </w:r>
    </w:p>
    <w:p w14:paraId="721E7142" w14:textId="77777777" w:rsidR="00D415DF" w:rsidRPr="00702D1B" w:rsidRDefault="00D415DF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4EBE1BF" w14:textId="06181304" w:rsidR="00D415DF" w:rsidRPr="00702D1B" w:rsidRDefault="004863FC" w:rsidP="00702D1B">
      <w:pPr>
        <w:spacing w:after="0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 xml:space="preserve">11. Terapinis derinys, skirtas naudoti pagal 9 arba 10 punktą, kur minėtas terapinis derinys yra </w:t>
      </w:r>
      <w:r w:rsidR="008B0C26" w:rsidRPr="00702D1B">
        <w:rPr>
          <w:rFonts w:ascii="Helvetica" w:hAnsi="Helvetica" w:cs="Arial"/>
          <w:sz w:val="20"/>
          <w:szCs w:val="24"/>
          <w:lang w:val="lt-LT"/>
        </w:rPr>
        <w:t>skiriamas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 naudojant atskiras </w:t>
      </w:r>
      <w:r w:rsidR="008B0C26" w:rsidRPr="00702D1B">
        <w:rPr>
          <w:rFonts w:ascii="Helvetica" w:hAnsi="Helvetica" w:cs="Arial"/>
          <w:sz w:val="20"/>
          <w:szCs w:val="24"/>
          <w:lang w:val="lt-LT"/>
        </w:rPr>
        <w:t>vaistines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 formas.</w:t>
      </w:r>
    </w:p>
    <w:p w14:paraId="5DC86473" w14:textId="77777777" w:rsidR="008B0C26" w:rsidRPr="00702D1B" w:rsidRDefault="008B0C26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ECF8A63" w14:textId="05E47918" w:rsidR="00D415DF" w:rsidRPr="00702D1B" w:rsidRDefault="004863FC" w:rsidP="00702D1B">
      <w:pPr>
        <w:spacing w:after="0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>12. Junginys, kuris yra (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trans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)-N1-((1R,2S)-2-fenilciklopropil)cikloheksan-1,4-diaminas arba farmaciniu požiūriu priimtina jo druska, skirtas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neoplastinės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ligos gydymui derinyje su viena arba daugiau veikliųjų farmacinių </w:t>
      </w:r>
      <w:r w:rsidR="008B0C26" w:rsidRPr="00702D1B">
        <w:rPr>
          <w:rFonts w:ascii="Helvetica" w:hAnsi="Helvetica" w:cs="Arial"/>
          <w:sz w:val="20"/>
          <w:szCs w:val="24"/>
          <w:lang w:val="lt-LT"/>
        </w:rPr>
        <w:t>medžiagų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, pasirinktų iš BCL2 inhibitorių, BET inhibitorių, EZH2 inhibitorių, DNR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alkilin</w:t>
      </w:r>
      <w:r w:rsidR="008B0C26" w:rsidRPr="00702D1B">
        <w:rPr>
          <w:rFonts w:ascii="Helvetica" w:hAnsi="Helvetica" w:cs="Arial"/>
          <w:sz w:val="20"/>
          <w:szCs w:val="24"/>
          <w:lang w:val="lt-LT"/>
        </w:rPr>
        <w:t>ančių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agentų,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topoizomerazės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inhibitorių,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belinostato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infigratinibo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(BGJ398),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docetakselio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doksorubicino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pinometostato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(EPZ-5676),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gemcitabino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lapatinibo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, LY2603618, MLN8237,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panobinostato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, SGC 0946,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vinkristino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ir farmaciniu požiūriu priimtinų jų druskų.</w:t>
      </w:r>
    </w:p>
    <w:p w14:paraId="4AFCC19E" w14:textId="77777777" w:rsidR="00D415DF" w:rsidRPr="00702D1B" w:rsidRDefault="00D415DF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D9CB971" w14:textId="466CC7E7" w:rsidR="00D415DF" w:rsidRPr="00702D1B" w:rsidRDefault="004863FC" w:rsidP="00702D1B">
      <w:pPr>
        <w:spacing w:after="0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>13. Junginys, skirtas naudoti pagal 12 punktą, kuris yra (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trans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)-N1-((1R,2S)-2-fenilciklopropil)cikloheksan-1,4-diaminas arba farmaciniu požiūriu priimtina jo druska, skirtas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neoplastinės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ligos gydymui derinyje su vienu BCL2 inhibitoriumi arba farmaciniu požiūriu priimtina jo druska.</w:t>
      </w:r>
    </w:p>
    <w:p w14:paraId="6083053B" w14:textId="77777777" w:rsidR="00D415DF" w:rsidRPr="00702D1B" w:rsidRDefault="00D415DF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D6C98D4" w14:textId="563DBABD" w:rsidR="00D415DF" w:rsidRPr="00702D1B" w:rsidRDefault="004863FC" w:rsidP="00702D1B">
      <w:pPr>
        <w:spacing w:after="0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>14. Junginys</w:t>
      </w:r>
      <w:r w:rsidR="00CA01CC" w:rsidRPr="00702D1B">
        <w:rPr>
          <w:rFonts w:ascii="Helvetica" w:hAnsi="Helvetica" w:cs="Arial"/>
          <w:sz w:val="20"/>
          <w:szCs w:val="24"/>
          <w:lang w:val="lt-LT"/>
        </w:rPr>
        <w:t>, skirtas naudoti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 pagal 12 punktą, kuris yra (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trans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)-N1-((1R,2S)-2-fenilciklopropil)cikloheksan-1,4-diaminas arba farmaciniu požiūriu priimtina jo druska, skirtas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neoplastinės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ligos gydymui derinyje su vienu BCL2 inhibitoriumi, pasirinktu iš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venetoklakso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(ABT-199),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navitoklakso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(ABT-263), ABT-737,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obatoklakso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, TW-37 </w:t>
      </w:r>
      <w:r w:rsidR="00CA01CC" w:rsidRPr="00702D1B">
        <w:rPr>
          <w:rFonts w:ascii="Helvetica" w:hAnsi="Helvetica" w:cs="Arial"/>
          <w:sz w:val="20"/>
          <w:szCs w:val="24"/>
          <w:lang w:val="lt-LT"/>
        </w:rPr>
        <w:t>arba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 farmaciniu požiūriu priimtin</w:t>
      </w:r>
      <w:r w:rsidR="00CA01CC" w:rsidRPr="00702D1B">
        <w:rPr>
          <w:rFonts w:ascii="Helvetica" w:hAnsi="Helvetica" w:cs="Arial"/>
          <w:sz w:val="20"/>
          <w:szCs w:val="24"/>
          <w:lang w:val="lt-LT"/>
        </w:rPr>
        <w:t>a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 jo drusk</w:t>
      </w:r>
      <w:r w:rsidR="00CA01CC" w:rsidRPr="00702D1B">
        <w:rPr>
          <w:rFonts w:ascii="Helvetica" w:hAnsi="Helvetica" w:cs="Arial"/>
          <w:sz w:val="20"/>
          <w:szCs w:val="24"/>
          <w:lang w:val="lt-LT"/>
        </w:rPr>
        <w:t>a</w:t>
      </w:r>
      <w:r w:rsidRPr="00702D1B">
        <w:rPr>
          <w:rFonts w:ascii="Helvetica" w:hAnsi="Helvetica" w:cs="Arial"/>
          <w:sz w:val="20"/>
          <w:szCs w:val="24"/>
          <w:lang w:val="lt-LT"/>
        </w:rPr>
        <w:t>.</w:t>
      </w:r>
    </w:p>
    <w:p w14:paraId="6A2FC22C" w14:textId="77777777" w:rsidR="00D415DF" w:rsidRPr="00702D1B" w:rsidRDefault="00D415DF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53904ED" w14:textId="7C7DDF2D" w:rsidR="00D415DF" w:rsidRPr="00702D1B" w:rsidRDefault="004863FC" w:rsidP="00702D1B">
      <w:pPr>
        <w:spacing w:after="0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>15. Junginys, skirtas naudoti pagal 12 punktą, kuris yra (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trans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)-N1-((1R,2S)-2-fenilciklopropil)cikloheksano-1,4-diaminas arba farmaciniu požiūriu priimtina jo druska, skirtas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neoplastinės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ligos gydymui derinyje su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venetoklaksu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(ABT-199) arba farmaciniu požiūriu priimtina jo druska.</w:t>
      </w:r>
    </w:p>
    <w:p w14:paraId="79E5D242" w14:textId="77777777" w:rsidR="00CA01CC" w:rsidRPr="00702D1B" w:rsidRDefault="00CA01CC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5320DEB" w14:textId="03E7CCF1" w:rsidR="00D415DF" w:rsidRPr="00702D1B" w:rsidRDefault="004863FC" w:rsidP="00702D1B">
      <w:pPr>
        <w:spacing w:after="0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>16. Junginys, skirtas naudoti pagal 12 punktą, kuris yra (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trans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)-N1-((1R,2S)-2-fenilciklopropil)cikloheksan-1,4-diaminas arba farmaciniu požiūriu priimtina jo druska, skirtas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neoplastinės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ligos gydymui derinyje su:</w:t>
      </w:r>
    </w:p>
    <w:p w14:paraId="3C4CA2A6" w14:textId="77777777" w:rsidR="00D415DF" w:rsidRPr="00702D1B" w:rsidRDefault="004863FC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>(a) vienu BET inhibitoriumi, pasirinktu iš CPI-203, GSK1324726A, GSK1210151A, (+)-JQ1, MS 436, OTX015 arba farmaciniu požiūriu priimtina jo druska; arba</w:t>
      </w:r>
    </w:p>
    <w:p w14:paraId="63088F92" w14:textId="2B10F511" w:rsidR="00D415DF" w:rsidRPr="00702D1B" w:rsidRDefault="004863FC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 xml:space="preserve">(b) vienu EZH2 inhibitoriumi, pasirinktu iš CPI-169, EPZ005687,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tazemetostato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(EPZ-6438), GSK126 </w:t>
      </w:r>
      <w:r w:rsidR="007748D4" w:rsidRPr="00702D1B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Pr="00702D1B">
        <w:rPr>
          <w:rFonts w:ascii="Helvetica" w:hAnsi="Helvetica" w:cs="Arial"/>
          <w:sz w:val="20"/>
          <w:szCs w:val="24"/>
          <w:lang w:val="lt-LT"/>
        </w:rPr>
        <w:t>farmaciniu požiūriu priimtin</w:t>
      </w:r>
      <w:r w:rsidR="007748D4" w:rsidRPr="00702D1B">
        <w:rPr>
          <w:rFonts w:ascii="Helvetica" w:hAnsi="Helvetica" w:cs="Arial"/>
          <w:sz w:val="20"/>
          <w:szCs w:val="24"/>
          <w:lang w:val="lt-LT"/>
        </w:rPr>
        <w:t>a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 jo drusk</w:t>
      </w:r>
      <w:r w:rsidR="007748D4" w:rsidRPr="00702D1B">
        <w:rPr>
          <w:rFonts w:ascii="Helvetica" w:hAnsi="Helvetica" w:cs="Arial"/>
          <w:sz w:val="20"/>
          <w:szCs w:val="24"/>
          <w:lang w:val="lt-LT"/>
        </w:rPr>
        <w:t>a</w:t>
      </w:r>
      <w:r w:rsidRPr="00702D1B">
        <w:rPr>
          <w:rFonts w:ascii="Helvetica" w:hAnsi="Helvetica" w:cs="Arial"/>
          <w:sz w:val="20"/>
          <w:szCs w:val="24"/>
          <w:lang w:val="lt-LT"/>
        </w:rPr>
        <w:t>; arba</w:t>
      </w:r>
    </w:p>
    <w:p w14:paraId="5A78C900" w14:textId="6AF6A941" w:rsidR="00D415DF" w:rsidRPr="00702D1B" w:rsidRDefault="004863FC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 xml:space="preserve">(c) vienu DNR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alkilinančiu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agentu, pasirinktu iš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bendamustino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karboplatinos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cisplatinos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temozolomido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748D4" w:rsidRPr="00702D1B">
        <w:rPr>
          <w:rFonts w:ascii="Helvetica" w:hAnsi="Helvetica" w:cs="Arial"/>
          <w:sz w:val="20"/>
          <w:szCs w:val="24"/>
          <w:lang w:val="lt-LT"/>
        </w:rPr>
        <w:t>arba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 farmaciniu požiūriu priimtin</w:t>
      </w:r>
      <w:r w:rsidR="007748D4" w:rsidRPr="00702D1B">
        <w:rPr>
          <w:rFonts w:ascii="Helvetica" w:hAnsi="Helvetica" w:cs="Arial"/>
          <w:sz w:val="20"/>
          <w:szCs w:val="24"/>
          <w:lang w:val="lt-LT"/>
        </w:rPr>
        <w:t>a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 jo drusk</w:t>
      </w:r>
      <w:r w:rsidR="007748D4" w:rsidRPr="00702D1B">
        <w:rPr>
          <w:rFonts w:ascii="Helvetica" w:hAnsi="Helvetica" w:cs="Arial"/>
          <w:sz w:val="20"/>
          <w:szCs w:val="24"/>
          <w:lang w:val="lt-LT"/>
        </w:rPr>
        <w:t>a</w:t>
      </w:r>
      <w:r w:rsidRPr="00702D1B">
        <w:rPr>
          <w:rFonts w:ascii="Helvetica" w:hAnsi="Helvetica" w:cs="Arial"/>
          <w:sz w:val="20"/>
          <w:szCs w:val="24"/>
          <w:lang w:val="lt-LT"/>
        </w:rPr>
        <w:t>; arba</w:t>
      </w:r>
    </w:p>
    <w:p w14:paraId="66C3F398" w14:textId="6FF4A170" w:rsidR="00D415DF" w:rsidRPr="00702D1B" w:rsidRDefault="004863FC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 xml:space="preserve">(d) vienu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topoizomerazės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inhibitoriumi, pasirinktu iš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etopozido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irinotekano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topotekano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748D4" w:rsidRPr="00702D1B">
        <w:rPr>
          <w:rFonts w:ascii="Helvetica" w:hAnsi="Helvetica" w:cs="Arial"/>
          <w:sz w:val="20"/>
          <w:szCs w:val="24"/>
          <w:lang w:val="lt-LT"/>
        </w:rPr>
        <w:t>arba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 farmaciniu požiūriu priimtin</w:t>
      </w:r>
      <w:r w:rsidR="007748D4" w:rsidRPr="00702D1B">
        <w:rPr>
          <w:rFonts w:ascii="Helvetica" w:hAnsi="Helvetica" w:cs="Arial"/>
          <w:sz w:val="20"/>
          <w:szCs w:val="24"/>
          <w:lang w:val="lt-LT"/>
        </w:rPr>
        <w:t>a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 jo drusk</w:t>
      </w:r>
      <w:r w:rsidR="007748D4" w:rsidRPr="00702D1B">
        <w:rPr>
          <w:rFonts w:ascii="Helvetica" w:hAnsi="Helvetica" w:cs="Arial"/>
          <w:sz w:val="20"/>
          <w:szCs w:val="24"/>
          <w:lang w:val="lt-LT"/>
        </w:rPr>
        <w:t>a</w:t>
      </w:r>
      <w:r w:rsidRPr="00702D1B">
        <w:rPr>
          <w:rFonts w:ascii="Helvetica" w:hAnsi="Helvetica" w:cs="Arial"/>
          <w:sz w:val="20"/>
          <w:szCs w:val="24"/>
          <w:lang w:val="lt-LT"/>
        </w:rPr>
        <w:t>.</w:t>
      </w:r>
    </w:p>
    <w:p w14:paraId="0664EBF5" w14:textId="77777777" w:rsidR="00D415DF" w:rsidRPr="00702D1B" w:rsidRDefault="00D415DF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8BCD265" w14:textId="77777777" w:rsidR="00D415DF" w:rsidRPr="00702D1B" w:rsidRDefault="004863FC" w:rsidP="00702D1B">
      <w:pPr>
        <w:spacing w:after="0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>17. Junginys, skirtas naudoti pagal bet kurį iš 12 - 16 punktų, kur minėtas junginys yra (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trans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)-N1-((1R,2S)-2-fenilciklopropil)cikloheksan-1,4-diamino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bishidrochloridas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>.</w:t>
      </w:r>
    </w:p>
    <w:p w14:paraId="2EE055F8" w14:textId="77777777" w:rsidR="00D415DF" w:rsidRPr="00702D1B" w:rsidRDefault="00D415DF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F4EC66F" w14:textId="24BCBA83" w:rsidR="00D415DF" w:rsidRPr="00702D1B" w:rsidRDefault="004863FC" w:rsidP="00702D1B">
      <w:pPr>
        <w:spacing w:after="0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 xml:space="preserve">18. Viena arba daugiau veikliųjų farmacinių </w:t>
      </w:r>
      <w:r w:rsidR="00E21621" w:rsidRPr="00702D1B">
        <w:rPr>
          <w:rFonts w:ascii="Helvetica" w:hAnsi="Helvetica" w:cs="Arial"/>
          <w:sz w:val="20"/>
          <w:szCs w:val="24"/>
          <w:lang w:val="lt-LT"/>
        </w:rPr>
        <w:t>medžiagų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, pasirinktų iš BCL2 inhibitorių, BET inhibitorių, EZH2 inhibitorių, DNR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alkilinančių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agentų,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topoizomerazės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inhibitorių,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belinostato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infigratinibo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(BGJ398),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docetakselio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doksorubicino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pinometostato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(EPZ-5676),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gemcitabino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lapatinibo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, LY2603618, MLN8237,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panobinostato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, SGC 0946,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vinkristino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, ir farmaciniu požiūriu priimtinų jų druskų, skirtų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neoplastinės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ligos gydymui derinyje su (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trans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>)-N1-((1R,2S)-2-fenilciklopropil)cikloheksan-1,4-diaminu arba farmaciniu požiūriu priimtina jo druska.</w:t>
      </w:r>
    </w:p>
    <w:p w14:paraId="3C1F8B22" w14:textId="77777777" w:rsidR="00D415DF" w:rsidRPr="00702D1B" w:rsidRDefault="00D415DF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129661A" w14:textId="31E50312" w:rsidR="00D415DF" w:rsidRPr="00702D1B" w:rsidRDefault="004863FC" w:rsidP="00702D1B">
      <w:pPr>
        <w:spacing w:after="0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lastRenderedPageBreak/>
        <w:t xml:space="preserve">19. Terapinis derinys, skirtas naudoti pagal bet kurį iš 9 - 11 punktų, junginys, skirtas naudoti pagal bet kurį iš 12 - 17 punktų, arba veiklioji farmacinė </w:t>
      </w:r>
      <w:r w:rsidR="00E21621" w:rsidRPr="00702D1B">
        <w:rPr>
          <w:rFonts w:ascii="Helvetica" w:hAnsi="Helvetica" w:cs="Arial"/>
          <w:sz w:val="20"/>
          <w:szCs w:val="24"/>
          <w:lang w:val="lt-LT"/>
        </w:rPr>
        <w:t>medžiaga</w:t>
      </w:r>
      <w:r w:rsidRPr="00702D1B">
        <w:rPr>
          <w:rFonts w:ascii="Helvetica" w:hAnsi="Helvetica" w:cs="Arial"/>
          <w:sz w:val="20"/>
          <w:szCs w:val="24"/>
          <w:lang w:val="lt-LT"/>
        </w:rPr>
        <w:t>, skirta naudoti pagal 18 punktą, kur:</w:t>
      </w:r>
    </w:p>
    <w:p w14:paraId="4C3EC99D" w14:textId="77777777" w:rsidR="00D415DF" w:rsidRPr="00702D1B" w:rsidRDefault="004863FC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 xml:space="preserve">(a)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neoplastinė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liga yra vėžys; arba</w:t>
      </w:r>
    </w:p>
    <w:p w14:paraId="1FC96188" w14:textId="77777777" w:rsidR="00D415DF" w:rsidRPr="00702D1B" w:rsidRDefault="004863FC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 xml:space="preserve">(b)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neoplastinė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liga yra pasirinkta iš krūties vėžio, prostatos vėžio, gimdos kaklelio vėžio, kiaušidžių vėžio, skrandžio vėžio, gaubtinės ir tiesiosios žarnos vėžio, kasos vėžio, kepenų vėžio, smegenų vėžio,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neuroendokrininio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vėžio, plaučių vėžio, inkstų vėžio, hematologinių piktybinių ligų, melanomos ir sarkomų; arba</w:t>
      </w:r>
    </w:p>
    <w:p w14:paraId="0BAF5B8D" w14:textId="0B9892D0" w:rsidR="00D415DF" w:rsidRPr="00702D1B" w:rsidRDefault="00E21621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>(</w:t>
      </w:r>
      <w:r w:rsidR="004863FC" w:rsidRPr="00702D1B">
        <w:rPr>
          <w:rFonts w:ascii="Helvetica" w:hAnsi="Helvetica" w:cs="Arial"/>
          <w:sz w:val="20"/>
          <w:szCs w:val="24"/>
          <w:lang w:val="lt-LT"/>
        </w:rPr>
        <w:t xml:space="preserve">c) </w:t>
      </w:r>
      <w:proofErr w:type="spellStart"/>
      <w:r w:rsidR="004863FC" w:rsidRPr="00702D1B">
        <w:rPr>
          <w:rFonts w:ascii="Helvetica" w:hAnsi="Helvetica" w:cs="Arial"/>
          <w:sz w:val="20"/>
          <w:szCs w:val="24"/>
          <w:lang w:val="lt-LT"/>
        </w:rPr>
        <w:t>neoplastinė</w:t>
      </w:r>
      <w:proofErr w:type="spellEnd"/>
      <w:r w:rsidR="004863FC" w:rsidRPr="00702D1B">
        <w:rPr>
          <w:rFonts w:ascii="Helvetica" w:hAnsi="Helvetica" w:cs="Arial"/>
          <w:sz w:val="20"/>
          <w:szCs w:val="24"/>
          <w:lang w:val="lt-LT"/>
        </w:rPr>
        <w:t xml:space="preserve"> liga yra </w:t>
      </w:r>
      <w:proofErr w:type="spellStart"/>
      <w:r w:rsidR="004863FC" w:rsidRPr="00702D1B">
        <w:rPr>
          <w:rFonts w:ascii="Helvetica" w:hAnsi="Helvetica" w:cs="Arial"/>
          <w:sz w:val="20"/>
          <w:szCs w:val="24"/>
          <w:lang w:val="lt-LT"/>
        </w:rPr>
        <w:t>solidinis</w:t>
      </w:r>
      <w:proofErr w:type="spellEnd"/>
      <w:r w:rsidR="004863FC" w:rsidRPr="00702D1B">
        <w:rPr>
          <w:rFonts w:ascii="Helvetica" w:hAnsi="Helvetica" w:cs="Arial"/>
          <w:sz w:val="20"/>
          <w:szCs w:val="24"/>
          <w:lang w:val="lt-LT"/>
        </w:rPr>
        <w:t xml:space="preserve"> navikas; arba</w:t>
      </w:r>
    </w:p>
    <w:p w14:paraId="6157EC17" w14:textId="7744E6DD" w:rsidR="00D415DF" w:rsidRPr="00702D1B" w:rsidRDefault="00E21621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>(</w:t>
      </w:r>
      <w:r w:rsidR="004863FC" w:rsidRPr="00702D1B">
        <w:rPr>
          <w:rFonts w:ascii="Helvetica" w:hAnsi="Helvetica" w:cs="Arial"/>
          <w:sz w:val="20"/>
          <w:szCs w:val="24"/>
          <w:lang w:val="lt-LT"/>
        </w:rPr>
        <w:t xml:space="preserve">d) </w:t>
      </w:r>
      <w:proofErr w:type="spellStart"/>
      <w:r w:rsidR="004863FC" w:rsidRPr="00702D1B">
        <w:rPr>
          <w:rFonts w:ascii="Helvetica" w:hAnsi="Helvetica" w:cs="Arial"/>
          <w:sz w:val="20"/>
          <w:szCs w:val="24"/>
          <w:lang w:val="lt-LT"/>
        </w:rPr>
        <w:t>neoplastinė</w:t>
      </w:r>
      <w:proofErr w:type="spellEnd"/>
      <w:r w:rsidR="004863FC" w:rsidRPr="00702D1B">
        <w:rPr>
          <w:rFonts w:ascii="Helvetica" w:hAnsi="Helvetica" w:cs="Arial"/>
          <w:sz w:val="20"/>
          <w:szCs w:val="24"/>
          <w:lang w:val="lt-LT"/>
        </w:rPr>
        <w:t xml:space="preserve"> liga yra </w:t>
      </w:r>
      <w:proofErr w:type="spellStart"/>
      <w:r w:rsidR="004863FC" w:rsidRPr="00702D1B">
        <w:rPr>
          <w:rFonts w:ascii="Helvetica" w:hAnsi="Helvetica" w:cs="Arial"/>
          <w:sz w:val="20"/>
          <w:szCs w:val="24"/>
          <w:lang w:val="lt-LT"/>
        </w:rPr>
        <w:t>smulkialąstelinis</w:t>
      </w:r>
      <w:proofErr w:type="spellEnd"/>
      <w:r w:rsidR="004863FC" w:rsidRPr="00702D1B">
        <w:rPr>
          <w:rFonts w:ascii="Helvetica" w:hAnsi="Helvetica" w:cs="Arial"/>
          <w:sz w:val="20"/>
          <w:szCs w:val="24"/>
          <w:lang w:val="lt-LT"/>
        </w:rPr>
        <w:t xml:space="preserve"> plaučių vėžys (SCLC).</w:t>
      </w:r>
    </w:p>
    <w:p w14:paraId="6D77E8F8" w14:textId="77777777" w:rsidR="00E21621" w:rsidRPr="00702D1B" w:rsidRDefault="00E21621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74CCF2C" w14:textId="4C39C839" w:rsidR="00D415DF" w:rsidRPr="00702D1B" w:rsidRDefault="004863FC" w:rsidP="00702D1B">
      <w:pPr>
        <w:spacing w:after="0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 xml:space="preserve">20. Terapinis derinys, skirtas naudoti pagal bet kurį iš 9 - 11 punktų, junginys, skirtas naudoti pagal bet kurį iš 12 - 17 punktų, arba veiklioji farmacinė </w:t>
      </w:r>
      <w:r w:rsidR="00E21621" w:rsidRPr="00702D1B">
        <w:rPr>
          <w:rFonts w:ascii="Helvetica" w:hAnsi="Helvetica" w:cs="Arial"/>
          <w:sz w:val="20"/>
          <w:szCs w:val="24"/>
          <w:lang w:val="lt-LT"/>
        </w:rPr>
        <w:t>medžiaga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, skirta naudoti pagal 18 punktą, kur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neoplastinė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liga yra kraujo vėžys.</w:t>
      </w:r>
    </w:p>
    <w:p w14:paraId="68B49CCE" w14:textId="77777777" w:rsidR="00D415DF" w:rsidRPr="00702D1B" w:rsidRDefault="00D415DF" w:rsidP="00702D1B">
      <w:pPr>
        <w:spacing w:after="0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3F07229" w14:textId="1A33621D" w:rsidR="00D415DF" w:rsidRPr="00702D1B" w:rsidRDefault="004863FC" w:rsidP="00702D1B">
      <w:pPr>
        <w:spacing w:after="0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702D1B">
        <w:rPr>
          <w:rFonts w:ascii="Helvetica" w:hAnsi="Helvetica" w:cs="Arial"/>
          <w:sz w:val="20"/>
          <w:szCs w:val="24"/>
          <w:lang w:val="lt-LT"/>
        </w:rPr>
        <w:t xml:space="preserve">21. Terapinis derinys, skirtas naudoti pagal 20 punktą, junginys, skirtas naudoti pagal 20 punktą, arba veiklioji farmacinė </w:t>
      </w:r>
      <w:r w:rsidR="00E21621" w:rsidRPr="00702D1B">
        <w:rPr>
          <w:rFonts w:ascii="Helvetica" w:hAnsi="Helvetica" w:cs="Arial"/>
          <w:sz w:val="20"/>
          <w:szCs w:val="24"/>
          <w:lang w:val="lt-LT"/>
        </w:rPr>
        <w:t>medžiaga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, skirta naudoti pagal 20 punktą, kur kraujo vėžys yra pasirinktas iš ūminės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mieloidinės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leukemijos (</w:t>
      </w:r>
      <w:r w:rsidR="00E21621" w:rsidRPr="00702D1B">
        <w:rPr>
          <w:rFonts w:ascii="Helvetica" w:hAnsi="Helvetica" w:cs="Arial"/>
          <w:sz w:val="20"/>
          <w:szCs w:val="24"/>
          <w:lang w:val="lt-LT"/>
        </w:rPr>
        <w:t>C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ML), lėtinės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mieloidinės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leukemijos (LML), lėtinės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neutrofilinės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leukemijos, lėtinės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eozinofilinės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leukemijos, lėtinės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limfocitinės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leukemijos (</w:t>
      </w:r>
      <w:r w:rsidR="00E21621" w:rsidRPr="00702D1B">
        <w:rPr>
          <w:rFonts w:ascii="Helvetica" w:hAnsi="Helvetica" w:cs="Arial"/>
          <w:sz w:val="20"/>
          <w:szCs w:val="24"/>
          <w:lang w:val="lt-LT"/>
        </w:rPr>
        <w:t>C</w:t>
      </w:r>
      <w:r w:rsidRPr="00702D1B">
        <w:rPr>
          <w:rFonts w:ascii="Helvetica" w:hAnsi="Helvetica" w:cs="Arial"/>
          <w:sz w:val="20"/>
          <w:szCs w:val="24"/>
          <w:lang w:val="lt-LT"/>
        </w:rPr>
        <w:t xml:space="preserve">LL), ūminės </w:t>
      </w:r>
      <w:proofErr w:type="spellStart"/>
      <w:r w:rsidRPr="00702D1B">
        <w:rPr>
          <w:rFonts w:ascii="Helvetica" w:hAnsi="Helvetica" w:cs="Arial"/>
          <w:sz w:val="20"/>
          <w:szCs w:val="24"/>
          <w:lang w:val="lt-LT"/>
        </w:rPr>
        <w:t>limfoblastinės</w:t>
      </w:r>
      <w:proofErr w:type="spellEnd"/>
      <w:r w:rsidRPr="00702D1B">
        <w:rPr>
          <w:rFonts w:ascii="Helvetica" w:hAnsi="Helvetica" w:cs="Arial"/>
          <w:sz w:val="20"/>
          <w:szCs w:val="24"/>
          <w:lang w:val="lt-LT"/>
        </w:rPr>
        <w:t xml:space="preserve"> leukemijos (</w:t>
      </w:r>
      <w:r w:rsidR="00F55A8A" w:rsidRPr="00702D1B">
        <w:rPr>
          <w:rFonts w:ascii="Helvetica" w:hAnsi="Helvetica" w:cs="Arial"/>
          <w:sz w:val="20"/>
          <w:szCs w:val="24"/>
          <w:lang w:val="lt-LT"/>
        </w:rPr>
        <w:t>A</w:t>
      </w:r>
      <w:r w:rsidRPr="00702D1B">
        <w:rPr>
          <w:rFonts w:ascii="Helvetica" w:hAnsi="Helvetica" w:cs="Arial"/>
          <w:sz w:val="20"/>
          <w:szCs w:val="24"/>
          <w:lang w:val="lt-LT"/>
        </w:rPr>
        <w:t>LL) ir plaukuotųjų ląstelių leukemijos.</w:t>
      </w:r>
    </w:p>
    <w:sectPr w:rsidR="00D415DF" w:rsidRPr="00702D1B" w:rsidSect="00702D1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00FF0" w14:textId="77777777" w:rsidR="001D50AF" w:rsidRDefault="001D50AF">
      <w:pPr>
        <w:spacing w:after="0" w:line="240" w:lineRule="auto"/>
      </w:pPr>
      <w:r>
        <w:separator/>
      </w:r>
    </w:p>
  </w:endnote>
  <w:endnote w:type="continuationSeparator" w:id="0">
    <w:p w14:paraId="5260F174" w14:textId="77777777" w:rsidR="001D50AF" w:rsidRDefault="001D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15178" w14:textId="77777777" w:rsidR="001D50AF" w:rsidRDefault="001D50AF">
      <w:pPr>
        <w:spacing w:after="0" w:line="240" w:lineRule="auto"/>
      </w:pPr>
      <w:r>
        <w:separator/>
      </w:r>
    </w:p>
  </w:footnote>
  <w:footnote w:type="continuationSeparator" w:id="0">
    <w:p w14:paraId="7711224C" w14:textId="77777777" w:rsidR="001D50AF" w:rsidRDefault="001D5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7070211">
    <w:abstractNumId w:val="8"/>
  </w:num>
  <w:num w:numId="2" w16cid:durableId="2077701585">
    <w:abstractNumId w:val="6"/>
  </w:num>
  <w:num w:numId="3" w16cid:durableId="2000503536">
    <w:abstractNumId w:val="5"/>
  </w:num>
  <w:num w:numId="4" w16cid:durableId="457143785">
    <w:abstractNumId w:val="4"/>
  </w:num>
  <w:num w:numId="5" w16cid:durableId="484585597">
    <w:abstractNumId w:val="7"/>
  </w:num>
  <w:num w:numId="6" w16cid:durableId="951982795">
    <w:abstractNumId w:val="3"/>
  </w:num>
  <w:num w:numId="7" w16cid:durableId="1474442912">
    <w:abstractNumId w:val="2"/>
  </w:num>
  <w:num w:numId="8" w16cid:durableId="328211601">
    <w:abstractNumId w:val="1"/>
  </w:num>
  <w:num w:numId="9" w16cid:durableId="96268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467A"/>
    <w:rsid w:val="0015074B"/>
    <w:rsid w:val="001D50AF"/>
    <w:rsid w:val="0029639D"/>
    <w:rsid w:val="00326F90"/>
    <w:rsid w:val="00400456"/>
    <w:rsid w:val="00436191"/>
    <w:rsid w:val="004863FC"/>
    <w:rsid w:val="00641CB8"/>
    <w:rsid w:val="0069333D"/>
    <w:rsid w:val="00702D1B"/>
    <w:rsid w:val="00726A5D"/>
    <w:rsid w:val="007748D4"/>
    <w:rsid w:val="007F3946"/>
    <w:rsid w:val="008B0C26"/>
    <w:rsid w:val="00903759"/>
    <w:rsid w:val="0096288C"/>
    <w:rsid w:val="00AA1D8D"/>
    <w:rsid w:val="00B47730"/>
    <w:rsid w:val="00B763EB"/>
    <w:rsid w:val="00BA4A6F"/>
    <w:rsid w:val="00CA01CC"/>
    <w:rsid w:val="00CB0664"/>
    <w:rsid w:val="00D415DF"/>
    <w:rsid w:val="00D57555"/>
    <w:rsid w:val="00E21621"/>
    <w:rsid w:val="00F55A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68A57"/>
  <w14:defaultImageDpi w14:val="300"/>
  <w15:docId w15:val="{9B1C27D9-FA2B-4BC2-98E4-55AC0698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pPr>
      <w:spacing w:line="360" w:lineRule="auto"/>
    </w:pPr>
    <w:rPr>
      <w:rFonts w:ascii="Arial" w:hAnsi="Arial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rastasiniatinklio">
    <w:name w:val="Normal (Web)"/>
    <w:basedOn w:val="prastasis"/>
    <w:uiPriority w:val="99"/>
    <w:unhideWhenUsed/>
    <w:rsid w:val="0096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845</Words>
  <Characters>6428</Characters>
  <Application>Microsoft Office Word</Application>
  <DocSecurity>0</DocSecurity>
  <Lines>110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Rasa Gurčytė</cp:lastModifiedBy>
  <cp:revision>6</cp:revision>
  <dcterms:created xsi:type="dcterms:W3CDTF">2026-01-01T20:05:00Z</dcterms:created>
  <dcterms:modified xsi:type="dcterms:W3CDTF">2026-01-09T07:36:00Z</dcterms:modified>
  <cp:category/>
</cp:coreProperties>
</file>