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7AC2" w14:textId="42116512"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1. Kompozicija, apimanti antigeninę keratinofilinių grybelių ir (arba) keratinofilinių mielių medžiagą, skirtą panaudoti dykaraginių ir (arba) kiaulių, ypač galvijų, snukio ir nagų ligų gydymui ir (arba) prevencijai, kur snukio ir nagų ligos yra pasirinktos iš grupė</w:t>
      </w:r>
      <w:r w:rsidRPr="009C338C">
        <w:rPr>
          <w:rFonts w:ascii="Helvetica" w:eastAsia="Calibri" w:hAnsi="Helvetica" w:cs="Arial"/>
          <w:noProof/>
          <w:sz w:val="20"/>
          <w:szCs w:val="24"/>
          <w:lang w:val="lt-LT"/>
        </w:rPr>
        <w:t>s</w:t>
      </w:r>
      <w:r w:rsidRPr="009C338C">
        <w:rPr>
          <w:rFonts w:ascii="Helvetica" w:eastAsia="Calibri" w:hAnsi="Helvetica" w:cs="Arial"/>
          <w:noProof/>
          <w:sz w:val="20"/>
          <w:szCs w:val="24"/>
          <w:lang w:val="lt-LT"/>
        </w:rPr>
        <w:t>, susidedančios iš pirštų odos uždegimo, tarpupirščio odos uždegimo ir (arba) tarpupirščio nekrobaciliozės, ir antigeninė medžiaga, apima keratinofilinių grybelių ir (arba) keratinofilinių mielių antigenus.</w:t>
      </w:r>
    </w:p>
    <w:p w14:paraId="64956294"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51F3BC94"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2. Kompozicija, skirta panaudoti pagal 1 punktą, kur keratinofilinių grybelių ir (arba) mielių antigeninė medžiaga apima homogenizuotą inaktyvuotą dermatofitų mikrokonidiją ir (arba) homogenizuotas inaktyvuotas mielių blastosporas, ir (arba) antigeninę medžiagą iš dermatofitų mikrokonidijų, ir (arba) antigeninę medžiagą iš mielių blastosporų.</w:t>
      </w:r>
    </w:p>
    <w:p w14:paraId="0E965A6D"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3917C736"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3. Kompozicija, skirta panaudoti pagal 2 punktą, kur dermatofitų mikrokonidijos antigeninė medžiaga ir (arba) mielių blastosporų antigeninė medžiaga apima antigeninę medžiagą, netirpią vandeniniuose tirpaluose, apimančią polisacharidą ir (arba) glikopeptidą (ANMP), antigeninę medžiagą, tirpią vandeniniuose tirpaluose, apimančią polisacharidą ir (arba) glikopeptidą (ASMP), arba antigeninę egzogeninę medžiagą, apimančią polisacharidą ir (arba) glikopeptidą (AEMP).</w:t>
      </w:r>
    </w:p>
    <w:p w14:paraId="6042449F"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694F7814"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4. Kompozicija, skirta panaudoti pagal bet kurį vieną iš ankstesnių punktų, kur snukio ir nagų ligos sukelia šlubavimą.</w:t>
      </w:r>
    </w:p>
    <w:p w14:paraId="28BE7BD2"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2EA0F7FD"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 xml:space="preserve">5. Kompozicija, skirta panaudoti pagal bet kurį vieną iš ankstesnių punktų, kur keratinofilinių grybų ir (arba) keratinofilinių mielių antigeninė medžiaga yra gauta iš </w:t>
      </w:r>
      <w:r w:rsidRPr="009C338C">
        <w:rPr>
          <w:rFonts w:ascii="Helvetica" w:eastAsia="Calibri" w:hAnsi="Helvetica" w:cs="Arial"/>
          <w:i/>
          <w:iCs/>
          <w:noProof/>
          <w:sz w:val="20"/>
          <w:szCs w:val="24"/>
          <w:lang w:val="lt-LT"/>
        </w:rPr>
        <w:t>Trichophyton</w:t>
      </w:r>
      <w:r w:rsidRPr="009C338C">
        <w:rPr>
          <w:rFonts w:ascii="Helvetica" w:eastAsia="Calibri" w:hAnsi="Helvetica" w:cs="Arial"/>
          <w:noProof/>
          <w:sz w:val="20"/>
          <w:szCs w:val="24"/>
          <w:lang w:val="lt-LT"/>
        </w:rPr>
        <w:t xml:space="preserve"> rūšies, ypač iš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w:t>
      </w:r>
      <w:r w:rsidRPr="009C338C">
        <w:rPr>
          <w:rFonts w:ascii="Helvetica" w:eastAsia="Calibri" w:hAnsi="Helvetica" w:cs="Arial"/>
          <w:i/>
          <w:iCs/>
          <w:noProof/>
          <w:sz w:val="20"/>
          <w:szCs w:val="24"/>
          <w:lang w:val="lt-LT"/>
        </w:rPr>
        <w:t>Trichophyton mentagrophytes</w:t>
      </w:r>
      <w:r w:rsidRPr="009C338C">
        <w:rPr>
          <w:rFonts w:ascii="Helvetica" w:eastAsia="Calibri" w:hAnsi="Helvetica" w:cs="Arial"/>
          <w:noProof/>
          <w:sz w:val="20"/>
          <w:szCs w:val="24"/>
          <w:lang w:val="lt-LT"/>
        </w:rPr>
        <w:t xml:space="preserve">, </w:t>
      </w:r>
      <w:r w:rsidRPr="009C338C">
        <w:rPr>
          <w:rFonts w:ascii="Helvetica" w:eastAsia="Calibri" w:hAnsi="Helvetica" w:cs="Arial"/>
          <w:i/>
          <w:iCs/>
          <w:noProof/>
          <w:sz w:val="20"/>
          <w:szCs w:val="24"/>
          <w:lang w:val="lt-LT"/>
        </w:rPr>
        <w:t>Trichophyton equinum</w:t>
      </w:r>
      <w:r w:rsidRPr="009C338C">
        <w:rPr>
          <w:rFonts w:ascii="Helvetica" w:eastAsia="Calibri" w:hAnsi="Helvetica" w:cs="Arial"/>
          <w:noProof/>
          <w:sz w:val="20"/>
          <w:szCs w:val="24"/>
          <w:lang w:val="lt-LT"/>
        </w:rPr>
        <w:t xml:space="preserve">, </w:t>
      </w:r>
      <w:r w:rsidRPr="009C338C">
        <w:rPr>
          <w:rFonts w:ascii="Helvetica" w:eastAsia="Calibri" w:hAnsi="Helvetica" w:cs="Arial"/>
          <w:i/>
          <w:iCs/>
          <w:noProof/>
          <w:sz w:val="20"/>
          <w:szCs w:val="24"/>
          <w:lang w:val="lt-LT"/>
        </w:rPr>
        <w:t>Trichophyton sarkisovii</w:t>
      </w:r>
      <w:r w:rsidRPr="009C338C">
        <w:rPr>
          <w:rFonts w:ascii="Helvetica" w:eastAsia="Calibri" w:hAnsi="Helvetica" w:cs="Arial"/>
          <w:noProof/>
          <w:sz w:val="20"/>
          <w:szCs w:val="24"/>
          <w:lang w:val="lt-LT"/>
        </w:rPr>
        <w:t xml:space="preserve">, </w:t>
      </w:r>
      <w:r w:rsidRPr="009C338C">
        <w:rPr>
          <w:rFonts w:ascii="Helvetica" w:eastAsia="Calibri" w:hAnsi="Helvetica" w:cs="Arial"/>
          <w:i/>
          <w:iCs/>
          <w:noProof/>
          <w:sz w:val="20"/>
          <w:szCs w:val="24"/>
          <w:lang w:val="lt-LT"/>
        </w:rPr>
        <w:t>Trichophyton rubrum</w:t>
      </w:r>
      <w:r w:rsidRPr="009C338C">
        <w:rPr>
          <w:rFonts w:ascii="Helvetica" w:eastAsia="Calibri" w:hAnsi="Helvetica" w:cs="Arial"/>
          <w:noProof/>
          <w:sz w:val="20"/>
          <w:szCs w:val="24"/>
          <w:lang w:val="lt-LT"/>
        </w:rPr>
        <w:t xml:space="preserve"> arba </w:t>
      </w:r>
      <w:r w:rsidRPr="009C338C">
        <w:rPr>
          <w:rFonts w:ascii="Helvetica" w:eastAsia="Calibri" w:hAnsi="Helvetica" w:cs="Arial"/>
          <w:i/>
          <w:iCs/>
          <w:noProof/>
          <w:sz w:val="20"/>
          <w:szCs w:val="24"/>
          <w:lang w:val="lt-LT"/>
        </w:rPr>
        <w:t>Trichophyton mentagrophytes</w:t>
      </w:r>
      <w:r w:rsidRPr="009C338C">
        <w:rPr>
          <w:rFonts w:ascii="Helvetica" w:eastAsia="Calibri" w:hAnsi="Helvetica" w:cs="Arial"/>
          <w:noProof/>
          <w:sz w:val="20"/>
          <w:szCs w:val="24"/>
          <w:lang w:val="lt-LT"/>
        </w:rPr>
        <w:t xml:space="preserve">, iš </w:t>
      </w:r>
      <w:r w:rsidRPr="009C338C">
        <w:rPr>
          <w:rFonts w:ascii="Helvetica" w:eastAsia="Calibri" w:hAnsi="Helvetica" w:cs="Arial"/>
          <w:i/>
          <w:iCs/>
          <w:noProof/>
          <w:sz w:val="20"/>
          <w:szCs w:val="24"/>
          <w:lang w:val="lt-LT"/>
        </w:rPr>
        <w:t xml:space="preserve">Microsporum </w:t>
      </w:r>
      <w:r w:rsidRPr="009C338C">
        <w:rPr>
          <w:rFonts w:ascii="Helvetica" w:eastAsia="Calibri" w:hAnsi="Helvetica" w:cs="Arial"/>
          <w:noProof/>
          <w:sz w:val="20"/>
          <w:szCs w:val="24"/>
          <w:lang w:val="lt-LT"/>
        </w:rPr>
        <w:t xml:space="preserve">rūšies, ypač iš </w:t>
      </w:r>
      <w:r w:rsidRPr="009C338C">
        <w:rPr>
          <w:rFonts w:ascii="Helvetica" w:eastAsia="Calibri" w:hAnsi="Helvetica" w:cs="Arial"/>
          <w:i/>
          <w:iCs/>
          <w:noProof/>
          <w:sz w:val="20"/>
          <w:szCs w:val="24"/>
          <w:lang w:val="lt-LT"/>
        </w:rPr>
        <w:t>Microsporum gypseum</w:t>
      </w:r>
      <w:r w:rsidRPr="009C338C">
        <w:rPr>
          <w:rFonts w:ascii="Helvetica" w:eastAsia="Calibri" w:hAnsi="Helvetica" w:cs="Arial"/>
          <w:noProof/>
          <w:sz w:val="20"/>
          <w:szCs w:val="24"/>
          <w:lang w:val="lt-LT"/>
        </w:rPr>
        <w:t xml:space="preserve">, </w:t>
      </w:r>
      <w:r w:rsidRPr="009C338C">
        <w:rPr>
          <w:rFonts w:ascii="Helvetica" w:eastAsia="Calibri" w:hAnsi="Helvetica" w:cs="Arial"/>
          <w:i/>
          <w:iCs/>
          <w:noProof/>
          <w:sz w:val="20"/>
          <w:szCs w:val="24"/>
          <w:lang w:val="lt-LT"/>
        </w:rPr>
        <w:t>Microsporum canis</w:t>
      </w:r>
      <w:r w:rsidRPr="009C338C">
        <w:rPr>
          <w:rFonts w:ascii="Helvetica" w:eastAsia="Calibri" w:hAnsi="Helvetica" w:cs="Arial"/>
          <w:noProof/>
          <w:sz w:val="20"/>
          <w:szCs w:val="24"/>
          <w:lang w:val="lt-LT"/>
        </w:rPr>
        <w:t xml:space="preserve">, ypač iš </w:t>
      </w:r>
      <w:r w:rsidRPr="009C338C">
        <w:rPr>
          <w:rFonts w:ascii="Helvetica" w:eastAsia="Calibri" w:hAnsi="Helvetica" w:cs="Arial"/>
          <w:i/>
          <w:iCs/>
          <w:noProof/>
          <w:sz w:val="20"/>
          <w:szCs w:val="24"/>
          <w:lang w:val="lt-LT"/>
        </w:rPr>
        <w:t>Microsporum canis var. obesum</w:t>
      </w:r>
      <w:r w:rsidRPr="009C338C">
        <w:rPr>
          <w:rFonts w:ascii="Helvetica" w:eastAsia="Calibri" w:hAnsi="Helvetica" w:cs="Arial"/>
          <w:noProof/>
          <w:sz w:val="20"/>
          <w:szCs w:val="24"/>
          <w:lang w:val="lt-LT"/>
        </w:rPr>
        <w:t xml:space="preserve"> arba </w:t>
      </w:r>
      <w:r w:rsidRPr="009C338C">
        <w:rPr>
          <w:rFonts w:ascii="Helvetica" w:eastAsia="Calibri" w:hAnsi="Helvetica" w:cs="Arial"/>
          <w:i/>
          <w:iCs/>
          <w:noProof/>
          <w:sz w:val="20"/>
          <w:szCs w:val="24"/>
          <w:lang w:val="lt-LT"/>
        </w:rPr>
        <w:t>Microsporum canis var. Distortum</w:t>
      </w:r>
      <w:r w:rsidRPr="009C338C">
        <w:rPr>
          <w:rFonts w:ascii="Helvetica" w:eastAsia="Calibri" w:hAnsi="Helvetica" w:cs="Arial"/>
          <w:noProof/>
          <w:sz w:val="20"/>
          <w:szCs w:val="24"/>
          <w:lang w:val="lt-LT"/>
        </w:rPr>
        <w:t xml:space="preserve">, ir (arba) iš </w:t>
      </w:r>
      <w:r w:rsidRPr="009C338C">
        <w:rPr>
          <w:rFonts w:ascii="Helvetica" w:eastAsia="Calibri" w:hAnsi="Helvetica" w:cs="Arial"/>
          <w:i/>
          <w:iCs/>
          <w:noProof/>
          <w:sz w:val="20"/>
          <w:szCs w:val="24"/>
          <w:lang w:val="lt-LT"/>
        </w:rPr>
        <w:t xml:space="preserve">Candida </w:t>
      </w:r>
      <w:r w:rsidRPr="009C338C">
        <w:rPr>
          <w:rFonts w:ascii="Helvetica" w:eastAsia="Calibri" w:hAnsi="Helvetica" w:cs="Arial"/>
          <w:noProof/>
          <w:sz w:val="20"/>
          <w:szCs w:val="24"/>
          <w:lang w:val="lt-LT"/>
        </w:rPr>
        <w:t xml:space="preserve">rūšies, ypač </w:t>
      </w:r>
      <w:r w:rsidRPr="009C338C">
        <w:rPr>
          <w:rFonts w:ascii="Helvetica" w:eastAsia="Calibri" w:hAnsi="Helvetica" w:cs="Arial"/>
          <w:i/>
          <w:iCs/>
          <w:noProof/>
          <w:sz w:val="20"/>
          <w:szCs w:val="24"/>
          <w:lang w:val="lt-LT"/>
        </w:rPr>
        <w:t>Candida albicans</w:t>
      </w:r>
      <w:r w:rsidRPr="009C338C">
        <w:rPr>
          <w:rFonts w:ascii="Helvetica" w:eastAsia="Calibri" w:hAnsi="Helvetica" w:cs="Arial"/>
          <w:noProof/>
          <w:sz w:val="20"/>
          <w:szCs w:val="24"/>
          <w:lang w:val="lt-LT"/>
        </w:rPr>
        <w:t>.</w:t>
      </w:r>
    </w:p>
    <w:p w14:paraId="7056706F"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3F245620"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 xml:space="preserve">6. Kompozicija, skirta panaudoti pagal bet kurį vieną iš ankstesnių punktų, kur keratinofilinių grybelių antigeninė medžiaga yra gauta iš </w:t>
      </w:r>
      <w:r w:rsidRPr="009C338C">
        <w:rPr>
          <w:rFonts w:ascii="Helvetica" w:eastAsia="Calibri" w:hAnsi="Helvetica" w:cs="Arial"/>
          <w:i/>
          <w:iCs/>
          <w:noProof/>
          <w:sz w:val="20"/>
          <w:szCs w:val="24"/>
          <w:lang w:val="lt-LT"/>
        </w:rPr>
        <w:t>Trichophyton mentagrophytes</w:t>
      </w:r>
      <w:r w:rsidRPr="009C338C">
        <w:rPr>
          <w:rFonts w:ascii="Helvetica" w:eastAsia="Calibri" w:hAnsi="Helvetica" w:cs="Arial"/>
          <w:noProof/>
          <w:sz w:val="20"/>
          <w:szCs w:val="24"/>
          <w:lang w:val="lt-LT"/>
        </w:rPr>
        <w:t xml:space="preserve"> DSM -7279,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DSM -28406, </w:t>
      </w:r>
      <w:r w:rsidRPr="009C338C">
        <w:rPr>
          <w:rFonts w:ascii="Helvetica" w:eastAsia="Calibri" w:hAnsi="Helvetica" w:cs="Arial"/>
          <w:i/>
          <w:iCs/>
          <w:noProof/>
          <w:sz w:val="20"/>
          <w:szCs w:val="24"/>
          <w:lang w:val="lt-LT"/>
        </w:rPr>
        <w:t>Trichophyton rubrum</w:t>
      </w:r>
      <w:r w:rsidRPr="009C338C">
        <w:rPr>
          <w:rFonts w:ascii="Helvetica" w:eastAsia="Calibri" w:hAnsi="Helvetica" w:cs="Arial"/>
          <w:noProof/>
          <w:sz w:val="20"/>
          <w:szCs w:val="24"/>
          <w:lang w:val="lt-LT"/>
        </w:rPr>
        <w:t xml:space="preserve"> DSM -9469, </w:t>
      </w:r>
      <w:r w:rsidRPr="009C338C">
        <w:rPr>
          <w:rFonts w:ascii="Helvetica" w:eastAsia="Calibri" w:hAnsi="Helvetica" w:cs="Arial"/>
          <w:i/>
          <w:iCs/>
          <w:noProof/>
          <w:sz w:val="20"/>
          <w:szCs w:val="24"/>
          <w:lang w:val="lt-LT"/>
        </w:rPr>
        <w:t>Trichophyton rubrum</w:t>
      </w:r>
      <w:r w:rsidRPr="009C338C">
        <w:rPr>
          <w:rFonts w:ascii="Helvetica" w:eastAsia="Calibri" w:hAnsi="Helvetica" w:cs="Arial"/>
          <w:noProof/>
          <w:sz w:val="20"/>
          <w:szCs w:val="24"/>
          <w:lang w:val="lt-LT"/>
        </w:rPr>
        <w:t xml:space="preserve"> DSM -9470, </w:t>
      </w:r>
      <w:r w:rsidRPr="009C338C">
        <w:rPr>
          <w:rFonts w:ascii="Helvetica" w:eastAsia="Calibri" w:hAnsi="Helvetica" w:cs="Arial"/>
          <w:i/>
          <w:iCs/>
          <w:noProof/>
          <w:sz w:val="20"/>
          <w:szCs w:val="24"/>
          <w:lang w:val="lt-LT"/>
        </w:rPr>
        <w:t>Trichophyton rubrum</w:t>
      </w:r>
      <w:r w:rsidRPr="009C338C">
        <w:rPr>
          <w:rFonts w:ascii="Helvetica" w:eastAsia="Calibri" w:hAnsi="Helvetica" w:cs="Arial"/>
          <w:noProof/>
          <w:sz w:val="20"/>
          <w:szCs w:val="24"/>
          <w:lang w:val="lt-LT"/>
        </w:rPr>
        <w:t xml:space="preserve"> DSM - 9471 arba </w:t>
      </w:r>
      <w:r w:rsidRPr="009C338C">
        <w:rPr>
          <w:rFonts w:ascii="Helvetica" w:eastAsia="Calibri" w:hAnsi="Helvetica" w:cs="Arial"/>
          <w:i/>
          <w:iCs/>
          <w:noProof/>
          <w:sz w:val="20"/>
          <w:szCs w:val="24"/>
          <w:lang w:val="lt-LT"/>
        </w:rPr>
        <w:t>Trichophyton rubrum</w:t>
      </w:r>
      <w:r w:rsidRPr="009C338C">
        <w:rPr>
          <w:rFonts w:ascii="Helvetica" w:eastAsia="Calibri" w:hAnsi="Helvetica" w:cs="Arial"/>
          <w:noProof/>
          <w:sz w:val="20"/>
          <w:szCs w:val="24"/>
          <w:lang w:val="lt-LT"/>
        </w:rPr>
        <w:t xml:space="preserve"> DSM - 9472 padermių, ir (arba) keratinofilinių mielių antigeninė medžiaga yra gauta iš </w:t>
      </w:r>
      <w:r w:rsidRPr="009C338C">
        <w:rPr>
          <w:rFonts w:ascii="Helvetica" w:eastAsia="Calibri" w:hAnsi="Helvetica" w:cs="Arial"/>
          <w:i/>
          <w:iCs/>
          <w:noProof/>
          <w:sz w:val="20"/>
          <w:szCs w:val="24"/>
          <w:lang w:val="lt-LT"/>
        </w:rPr>
        <w:t>Candida albicans</w:t>
      </w:r>
      <w:r w:rsidRPr="009C338C">
        <w:rPr>
          <w:rFonts w:ascii="Helvetica" w:eastAsia="Calibri" w:hAnsi="Helvetica" w:cs="Arial"/>
          <w:noProof/>
          <w:sz w:val="20"/>
          <w:szCs w:val="24"/>
          <w:lang w:val="lt-LT"/>
        </w:rPr>
        <w:t xml:space="preserve"> DSM - 9456, </w:t>
      </w:r>
      <w:r w:rsidRPr="009C338C">
        <w:rPr>
          <w:rFonts w:ascii="Helvetica" w:eastAsia="Calibri" w:hAnsi="Helvetica" w:cs="Arial"/>
          <w:i/>
          <w:iCs/>
          <w:noProof/>
          <w:sz w:val="20"/>
          <w:szCs w:val="24"/>
          <w:lang w:val="lt-LT"/>
        </w:rPr>
        <w:t>Candida albicans</w:t>
      </w:r>
      <w:r w:rsidRPr="009C338C">
        <w:rPr>
          <w:rFonts w:ascii="Helvetica" w:eastAsia="Calibri" w:hAnsi="Helvetica" w:cs="Arial"/>
          <w:noProof/>
          <w:sz w:val="20"/>
          <w:szCs w:val="24"/>
          <w:lang w:val="lt-LT"/>
        </w:rPr>
        <w:t xml:space="preserve"> DSM - 9457, </w:t>
      </w:r>
      <w:r w:rsidRPr="009C338C">
        <w:rPr>
          <w:rFonts w:ascii="Helvetica" w:eastAsia="Calibri" w:hAnsi="Helvetica" w:cs="Arial"/>
          <w:i/>
          <w:iCs/>
          <w:noProof/>
          <w:sz w:val="20"/>
          <w:szCs w:val="24"/>
          <w:lang w:val="lt-LT"/>
        </w:rPr>
        <w:t>Candida albicans</w:t>
      </w:r>
      <w:r w:rsidRPr="009C338C">
        <w:rPr>
          <w:rFonts w:ascii="Helvetica" w:eastAsia="Calibri" w:hAnsi="Helvetica" w:cs="Arial"/>
          <w:noProof/>
          <w:sz w:val="20"/>
          <w:szCs w:val="24"/>
          <w:lang w:val="lt-LT"/>
        </w:rPr>
        <w:t xml:space="preserve"> DSM - 9458 arba </w:t>
      </w:r>
      <w:r w:rsidRPr="009C338C">
        <w:rPr>
          <w:rFonts w:ascii="Helvetica" w:eastAsia="Calibri" w:hAnsi="Helvetica" w:cs="Arial"/>
          <w:i/>
          <w:iCs/>
          <w:noProof/>
          <w:sz w:val="20"/>
          <w:szCs w:val="24"/>
          <w:lang w:val="lt-LT"/>
        </w:rPr>
        <w:t>Candida albicans</w:t>
      </w:r>
      <w:r w:rsidRPr="009C338C">
        <w:rPr>
          <w:rFonts w:ascii="Helvetica" w:eastAsia="Calibri" w:hAnsi="Helvetica" w:cs="Arial"/>
          <w:noProof/>
          <w:sz w:val="20"/>
          <w:szCs w:val="24"/>
          <w:lang w:val="lt-LT"/>
        </w:rPr>
        <w:t xml:space="preserve"> DSM - 9459 padermių.</w:t>
      </w:r>
    </w:p>
    <w:p w14:paraId="7008D094"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1D36BE7F"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7. Kompozicija, skirta panaudoti pagal bet kurį vieną iš 2-6 punktų, kur mikrokonidija yra išbrinkusios būklės ir (arba) turi gemalo vamzdelius.</w:t>
      </w:r>
    </w:p>
    <w:p w14:paraId="5836C402"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480A7192"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8. Kompozicija, skirta panaudoti pagal bet kurį vieną iš 2-7 punktų, kur blastosporos ir (arba) mikrokonidija buvo inaktyvuotos tiomersaliu, formaldehidu ir (arba) 2- propiolaktonu.</w:t>
      </w:r>
    </w:p>
    <w:p w14:paraId="53B3B6A5"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3072B228"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9. Kompozicija, skirta panaudoti pagal bet kurį vieną iš ankstesnių punktų, kur kompozicija papildomai apima vieną arba daugiau imunomoduliuojančią(-ių) medžiagą(-ų).</w:t>
      </w:r>
    </w:p>
    <w:p w14:paraId="3B2976AF"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40BADC5C"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lastRenderedPageBreak/>
        <w:t xml:space="preserve">10. Kompozicija, skirta panaudoti pagal bet kurį vieną iš ankstesnių punktų, kur kompozicija papildomai apima chitozaną, modifikuotą valerijono rūgštimi, pieno rūgštimi, </w:t>
      </w:r>
      <w:r w:rsidRPr="009C338C">
        <w:rPr>
          <w:rFonts w:ascii="Helvetica" w:eastAsia="Calibri" w:hAnsi="Helvetica" w:cs="Arial"/>
          <w:i/>
          <w:iCs/>
          <w:noProof/>
          <w:sz w:val="20"/>
          <w:szCs w:val="24"/>
          <w:lang w:val="lt-LT"/>
        </w:rPr>
        <w:t>para</w:t>
      </w:r>
      <w:r w:rsidRPr="009C338C">
        <w:rPr>
          <w:rFonts w:ascii="Helvetica" w:eastAsia="Calibri" w:hAnsi="Helvetica" w:cs="Arial"/>
          <w:noProof/>
          <w:sz w:val="20"/>
          <w:szCs w:val="24"/>
          <w:lang w:val="lt-LT"/>
        </w:rPr>
        <w:t xml:space="preserve">-aminobenzenkarboksirūgštimi, gliukurono rūgštimi arba valerijono rūgšties chloridu, arba hidrokoloidu, apimančiu: </w:t>
      </w:r>
    </w:p>
    <w:p w14:paraId="5BA48585" w14:textId="77777777" w:rsidR="009C338C" w:rsidRPr="009C338C" w:rsidRDefault="009C338C" w:rsidP="009C338C">
      <w:pPr>
        <w:spacing w:after="0" w:line="360" w:lineRule="auto"/>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i) nuo 0,1 iki 5% (m/t) chitozano ir nuo 0,001 iki 5% (m/t) valerijono rūgšties arba jos druskos, geriausia valerijono rūgšties chlorido arba</w:t>
      </w:r>
    </w:p>
    <w:p w14:paraId="51A31FD3" w14:textId="77777777" w:rsidR="009C338C" w:rsidRPr="009C338C" w:rsidRDefault="009C338C" w:rsidP="009C338C">
      <w:pPr>
        <w:spacing w:after="0" w:line="360" w:lineRule="auto"/>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(ii) nuo 0,1 iki 5% (m/m) chitozano ir 0,001–5% gliukurono rūgšties arba (m/m) p-aminobenzenkarboksirūgšties arba jos druskos.</w:t>
      </w:r>
    </w:p>
    <w:p w14:paraId="7A08B9B1"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3BC8A58D"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11. Kompozicija, skirta panaudoti pagal bet kurį vieną iš ankstesnių punktų, kur kompozicija yra farmacinė kompozicija, geriau vakcina.</w:t>
      </w:r>
    </w:p>
    <w:p w14:paraId="1B83DB94"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2C8B8FF0"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 xml:space="preserve">12.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padermė DSM - 28406.</w:t>
      </w:r>
    </w:p>
    <w:p w14:paraId="011DB57F"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6BC86B4D"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 xml:space="preserve">13.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padermė DSM - 28406, homogenizuota inaktyvuota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DSM - 28406 dermatofitų mikrokonidija arba antigeninė medžiaga, apimanti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padermės DSM - 28406 antigenus, įskaitant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DSM - 28406 dermatofitų mikrokonidijos ANMP, AEMP ir ASMP, skirti panaudoti žmonių ir (arba) veterinarinėje medicinoje, ir (arba) kaip vakcina.</w:t>
      </w:r>
    </w:p>
    <w:p w14:paraId="02C96296" w14:textId="77777777" w:rsidR="009C338C" w:rsidRPr="009C338C" w:rsidRDefault="009C338C" w:rsidP="009C338C">
      <w:pPr>
        <w:spacing w:after="0" w:line="360" w:lineRule="auto"/>
        <w:jc w:val="both"/>
        <w:rPr>
          <w:rFonts w:ascii="Helvetica" w:eastAsia="Calibri" w:hAnsi="Helvetica" w:cs="Arial"/>
          <w:noProof/>
          <w:sz w:val="20"/>
          <w:szCs w:val="24"/>
          <w:lang w:val="lt-LT"/>
        </w:rPr>
      </w:pPr>
    </w:p>
    <w:p w14:paraId="02D7CC05" w14:textId="77777777" w:rsidR="009C338C" w:rsidRPr="009C338C" w:rsidRDefault="009C338C" w:rsidP="009C338C">
      <w:pPr>
        <w:spacing w:after="0" w:line="360" w:lineRule="auto"/>
        <w:ind w:firstLine="567"/>
        <w:jc w:val="both"/>
        <w:rPr>
          <w:rFonts w:ascii="Helvetica" w:eastAsia="Calibri" w:hAnsi="Helvetica" w:cs="Arial"/>
          <w:noProof/>
          <w:sz w:val="20"/>
          <w:szCs w:val="24"/>
          <w:lang w:val="lt-LT"/>
        </w:rPr>
      </w:pPr>
      <w:r w:rsidRPr="009C338C">
        <w:rPr>
          <w:rFonts w:ascii="Helvetica" w:eastAsia="Calibri" w:hAnsi="Helvetica" w:cs="Arial"/>
          <w:noProof/>
          <w:sz w:val="20"/>
          <w:szCs w:val="24"/>
          <w:lang w:val="lt-LT"/>
        </w:rPr>
        <w:t xml:space="preserve">14.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DSM - 28406, homogenizuota inaktyvuota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DSM - 28406 dermatofitų mikrokonidija arba antigeninė medžiaga, apimanti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padermės DSM - 28406 antigenus, įskaitant </w:t>
      </w:r>
      <w:r w:rsidRPr="009C338C">
        <w:rPr>
          <w:rFonts w:ascii="Helvetica" w:eastAsia="Calibri" w:hAnsi="Helvetica" w:cs="Arial"/>
          <w:i/>
          <w:iCs/>
          <w:noProof/>
          <w:sz w:val="20"/>
          <w:szCs w:val="24"/>
          <w:lang w:val="lt-LT"/>
        </w:rPr>
        <w:t>Trichophyton verrucosum</w:t>
      </w:r>
      <w:r w:rsidRPr="009C338C">
        <w:rPr>
          <w:rFonts w:ascii="Helvetica" w:eastAsia="Calibri" w:hAnsi="Helvetica" w:cs="Arial"/>
          <w:noProof/>
          <w:sz w:val="20"/>
          <w:szCs w:val="24"/>
          <w:lang w:val="lt-LT"/>
        </w:rPr>
        <w:t xml:space="preserve"> DSM - 28406 dermatofitų mikrokonidijos ANMP, AEMP ir ASMP, skirti panaudoti taikant gydymo ir (arba) prevencijos būdą snukio ir nagų ligoms, pasirinktoms iš grupės, susidedančios iš pirštų odos uždegimo, tarpupirščio odos uždegimo ir (arba) tarpupirščio nekrobaciliozės, šlubumo arba gyvūnų dermatofitozės ir (arba) karpoms pas žmones.</w:t>
      </w:r>
    </w:p>
    <w:sectPr w:rsidR="009C338C" w:rsidRPr="009C338C" w:rsidSect="009C338C">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1271" w14:textId="77777777" w:rsidR="00D31E1D" w:rsidRDefault="00D31E1D" w:rsidP="009C338C">
      <w:pPr>
        <w:spacing w:after="0" w:line="240" w:lineRule="auto"/>
      </w:pPr>
      <w:r>
        <w:separator/>
      </w:r>
    </w:p>
  </w:endnote>
  <w:endnote w:type="continuationSeparator" w:id="0">
    <w:p w14:paraId="329B3983" w14:textId="77777777" w:rsidR="00D31E1D" w:rsidRDefault="00D31E1D" w:rsidP="009C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E375" w14:textId="77777777" w:rsidR="00D31E1D" w:rsidRDefault="00D31E1D" w:rsidP="009C338C">
      <w:pPr>
        <w:spacing w:after="0" w:line="240" w:lineRule="auto"/>
      </w:pPr>
      <w:r>
        <w:separator/>
      </w:r>
    </w:p>
  </w:footnote>
  <w:footnote w:type="continuationSeparator" w:id="0">
    <w:p w14:paraId="0473393C" w14:textId="77777777" w:rsidR="00D31E1D" w:rsidRDefault="00D31E1D" w:rsidP="009C33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C338C"/>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C338C"/>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31E1D"/>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093D1"/>
  <w15:chartTrackingRefBased/>
  <w15:docId w15:val="{EE4FF423-307F-47E7-9DC5-5F331E3E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338C"/>
    <w:pPr>
      <w:spacing w:after="160" w:line="259" w:lineRule="auto"/>
    </w:pPr>
    <w:rPr>
      <w:rFonts w:asciiTheme="minorHAnsi" w:eastAsiaTheme="minorHAnsi" w:hAnsiTheme="minorHAnsi" w:cstheme="minorBidi"/>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33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C338C"/>
    <w:rPr>
      <w:rFonts w:asciiTheme="minorHAnsi" w:eastAsiaTheme="minorHAnsi" w:hAnsiTheme="minorHAnsi" w:cstheme="minorBidi"/>
      <w:sz w:val="22"/>
      <w:szCs w:val="22"/>
      <w:lang w:val="en-US" w:eastAsia="en-US"/>
    </w:rPr>
  </w:style>
  <w:style w:type="paragraph" w:styleId="Porat">
    <w:name w:val="footer"/>
    <w:basedOn w:val="prastasis"/>
    <w:link w:val="PoratDiagrama"/>
    <w:uiPriority w:val="99"/>
    <w:unhideWhenUsed/>
    <w:rsid w:val="009C33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C338C"/>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4151</Characters>
  <Application>Microsoft Office Word</Application>
  <DocSecurity>0</DocSecurity>
  <Lines>75</Lines>
  <Paragraphs>22</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2021-10-14T06:13:00Z</dcterms:created>
  <dcterms:modified xsi:type="dcterms:W3CDTF">2021-10-14T06:17:00Z</dcterms:modified>
</cp:coreProperties>
</file>