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A389" w14:textId="2756E226" w:rsidR="004F2215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1. Antikūnas arba antigeną surišantis </w:t>
      </w:r>
      <w:r w:rsidR="0077604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fragmentas, kuris specifiškai su</w:t>
      </w:r>
      <w:r w:rsidR="0077604E" w:rsidRPr="00770CF4">
        <w:rPr>
          <w:rFonts w:ascii="Helvetica" w:eastAsia="Times New Roman" w:hAnsi="Helvetica" w:cs="Arial"/>
          <w:sz w:val="20"/>
          <w:szCs w:val="24"/>
          <w:lang w:eastAsia="lt-LT"/>
        </w:rPr>
        <w:t>riša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PD-1, skirtas naudoti naviko gydymo arba augimo slopinimo būdu</w:t>
      </w:r>
      <w:r w:rsidR="0077604E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minėtas </w:t>
      </w:r>
      <w:r w:rsidR="0077604E" w:rsidRPr="00770CF4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das apima:</w:t>
      </w:r>
    </w:p>
    <w:p w14:paraId="2D0470E6" w14:textId="5060DEC7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(a) paciento, sergančio odos plokščiųjų ląstelių karcinoma (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>OPLK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), 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atrank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1E6BEEE4" w14:textId="59BA56E4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(b) antikūno arba antigeną surišančio 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fragmento, kuris specifiškai 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asi su </w:t>
      </w:r>
      <w:bookmarkStart w:id="0" w:name="_Hlk88402190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PD-1</w:t>
      </w:r>
      <w:bookmarkEnd w:id="0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>terapiškai</w:t>
      </w:r>
      <w:proofErr w:type="spellEnd"/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veiksmingo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kiekio skyrimą pacientui, kuriam reik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>alingas toks gydymas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; kur antikūnas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</w:t>
      </w:r>
      <w:r w:rsidR="001A4377" w:rsidRPr="00770CF4">
        <w:rPr>
          <w:rFonts w:ascii="Helvetica" w:hAnsi="Helvetica"/>
          <w:sz w:val="20"/>
        </w:rPr>
        <w:t xml:space="preserve"> 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arba antigeną surišantis</w:t>
      </w:r>
      <w:r w:rsidR="001A4377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apima tris sunkiosios grandinės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kintamos srities (HCVR) </w:t>
      </w:r>
      <w:proofErr w:type="spellStart"/>
      <w:r w:rsidR="00CF63BC" w:rsidRPr="00770CF4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CF63BC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apsprendžiančias sritis (HCDR1, HCDR2 ir HCDR3)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ir tris lengvosios grandinės 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kintamos srities (LCVR)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F63BC" w:rsidRPr="00770CF4">
        <w:rPr>
          <w:rFonts w:ascii="Helvetica" w:eastAsia="Times New Roman" w:hAnsi="Helvetica" w:cs="Arial"/>
          <w:sz w:val="20"/>
          <w:szCs w:val="24"/>
          <w:lang w:eastAsia="lt-LT"/>
        </w:rPr>
        <w:t>apsprendžiančias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(LCDR1, LCDR2 ir LCDR3); kur HCDR1 apima aminorūgščių seką SEQ ID Nr. 3; HCDR2 apima aminorūgščių seką SEQ ID Nr. 4; HCDR3 apima aminorūgščių seką SEQ ID Nr. 5; LCDR1 apima aminorūgščių seką SEQ ID Nr. 6; LCDR2 apima aminorūgščių seką SEQ ID Nr. 7; ir LCDR3 apima aminorūgščių seką SEQ ID Nr. 8.</w:t>
      </w:r>
    </w:p>
    <w:p w14:paraId="6D992615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3140B2F" w14:textId="1F6F1764" w:rsidR="004F2215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būdu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punktą, kur </w:t>
      </w:r>
      <w:bookmarkStart w:id="1" w:name="_Hlk88334902"/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>OPLK</w:t>
      </w:r>
      <w:bookmarkEnd w:id="1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metastazav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nerezekuojama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ir/arba lokaliai paženg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3E11260" w14:textId="77777777" w:rsidR="00770CF4" w:rsidRPr="00770CF4" w:rsidRDefault="00770CF4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2FDC87E" w14:textId="5D3513E8" w:rsidR="004F2215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fragmentas, skirtas naudoti būdu</w:t>
      </w:r>
      <w:r w:rsidR="0017616F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 arba 2 punktą, kur:</w:t>
      </w:r>
    </w:p>
    <w:p w14:paraId="5D014903" w14:textId="29955A80" w:rsidR="004F2215" w:rsidRPr="00770CF4" w:rsidRDefault="00AA5FDE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acientas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netoleruoja arba 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kuriame stebimas ligos 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progres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avimas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po ankstesnio gydymo priešvėžine terapija, pasirinktinai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(a) kur minėta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pacient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buvo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taikoma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ankstesn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priešvėžin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ė terapija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grupės, kurią sudaro chirurgija, spindulinė terapija, chemoterapija ir kita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</w:t>
      </w:r>
      <w:r w:rsidR="007114B8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prieš PD-1 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arba (b) kur minėta 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OPLK 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proofErr w:type="spellStart"/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metastazav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proofErr w:type="spellEnd"/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lokaliai išplit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usi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, ir kur minėtas pacientas nėra p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asiduodantis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gydomajai chirurgijai arba gydomajai spinduliuotei.</w:t>
      </w:r>
    </w:p>
    <w:p w14:paraId="6F59352C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1669568" w14:textId="29F445F8" w:rsidR="00B5349C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būdu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1-3 punktų, kur minėtas antikūnas arba antigeną 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yra </w:t>
      </w:r>
      <w:r w:rsidR="00216969" w:rsidRPr="00770CF4">
        <w:rPr>
          <w:rFonts w:ascii="Helvetica" w:eastAsia="Times New Roman" w:hAnsi="Helvetica" w:cs="Arial"/>
          <w:sz w:val="20"/>
          <w:szCs w:val="24"/>
          <w:lang w:eastAsia="lt-LT"/>
        </w:rPr>
        <w:t>skiriamas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viena arba daugiau dozių, kur kiekviena dozė yra skiriama 0,5 iki 4 savaičių</w:t>
      </w:r>
      <w:r w:rsidR="002F187A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B2BE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laikotarpiu </w:t>
      </w:r>
      <w:r w:rsidR="002F187A" w:rsidRPr="00770CF4">
        <w:rPr>
          <w:rFonts w:ascii="Helvetica" w:eastAsia="Times New Roman" w:hAnsi="Helvetica" w:cs="Arial"/>
          <w:sz w:val="20"/>
          <w:szCs w:val="24"/>
          <w:lang w:eastAsia="lt-LT"/>
        </w:rPr>
        <w:t>iškart po ankstesnės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doz</w:t>
      </w:r>
      <w:r w:rsidR="002F187A" w:rsidRPr="00770CF4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pasirinktinai (a) kur kiekviena dozė yra skiriama 2 </w:t>
      </w:r>
      <w:r w:rsidR="00B5349C" w:rsidRPr="00770CF4">
        <w:rPr>
          <w:rFonts w:ascii="Helvetica" w:eastAsia="Times New Roman" w:hAnsi="Helvetica" w:cs="Arial"/>
          <w:sz w:val="20"/>
          <w:szCs w:val="24"/>
          <w:lang w:eastAsia="lt-LT"/>
        </w:rPr>
        <w:t>savaičių laikotarpiu iškart po ankstesnės dozės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arba (b) k</w:t>
      </w:r>
      <w:r w:rsidR="00B5349C" w:rsidRPr="00770CF4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kiekviena dozė </w:t>
      </w:r>
      <w:r w:rsidR="00B5349C" w:rsidRPr="00770CF4">
        <w:rPr>
          <w:rFonts w:ascii="Helvetica" w:eastAsia="Times New Roman" w:hAnsi="Helvetica" w:cs="Arial"/>
          <w:sz w:val="20"/>
          <w:szCs w:val="24"/>
          <w:lang w:eastAsia="lt-LT"/>
        </w:rPr>
        <w:t>yra skiriama 3 savaičių laikotarpiu iškart po ankstesnės dozės.</w:t>
      </w:r>
    </w:p>
    <w:p w14:paraId="32F36E77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0D15FC" w14:textId="4CB4CA29" w:rsidR="004F2215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Antikūnas, skirtas naudoti būdu</w:t>
      </w:r>
      <w:r w:rsidR="00B5349C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4 punktą, kur:</w:t>
      </w:r>
    </w:p>
    <w:p w14:paraId="25112151" w14:textId="7E5CCD02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(a) kiekviena dozė apima 1, 3 arba 10 mg/kg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, pagal</w:t>
      </w:r>
      <w:r w:rsidR="00B5349C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paciento kūno svor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B5349C" w:rsidRPr="00770CF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kur kiekviena dozė apima 3 mg/kg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, pagal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paciento kūno svor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1D37DFD1" w14:textId="390086AE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(b) kiekviena dozė apima 50-600 mg antikūno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PD-1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pasirinktinai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kur kiekviena dozė apima 200, 250 arba 350 mg antikūno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PD-1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A6E069E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AA44C19" w14:textId="2477D857" w:rsidR="002552E2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fragmentas, skirtas naudoti būdu</w:t>
      </w:r>
      <w:r w:rsidR="000F0053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1-5 punktų, kur pacient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yra atsparus arba nepakankamai 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reaguojantis arba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atkr</w:t>
      </w:r>
      <w:r w:rsidR="00527989" w:rsidRPr="00770CF4">
        <w:rPr>
          <w:rFonts w:ascii="Helvetica" w:eastAsia="Times New Roman" w:hAnsi="Helvetica" w:cs="Arial"/>
          <w:sz w:val="20"/>
          <w:szCs w:val="24"/>
          <w:lang w:eastAsia="lt-LT"/>
        </w:rPr>
        <w:t>ito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po ankstesnės terapijos.</w:t>
      </w:r>
    </w:p>
    <w:p w14:paraId="18303CDD" w14:textId="24B359A6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7145645" w14:textId="2E9E9602" w:rsidR="00ED08DF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būdu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1-6 punktų, kur 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skyr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imas sukelia bent vieną poveikį, parinktą iš grupės, susidedančios iš naviko augimo slopinimo, naviko 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egresijos, 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naviko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dydžio sumaž</w:t>
      </w:r>
      <w:r w:rsidR="00527989" w:rsidRPr="00770CF4">
        <w:rPr>
          <w:rFonts w:ascii="Helvetica" w:eastAsia="Times New Roman" w:hAnsi="Helvetica" w:cs="Arial"/>
          <w:sz w:val="20"/>
          <w:szCs w:val="24"/>
          <w:lang w:eastAsia="lt-LT"/>
        </w:rPr>
        <w:t>ėji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naviko ląstelių skaičiaus sumaž</w:t>
      </w:r>
      <w:r w:rsidR="00527989" w:rsidRPr="00770CF4">
        <w:rPr>
          <w:rFonts w:ascii="Helvetica" w:eastAsia="Times New Roman" w:hAnsi="Helvetica" w:cs="Arial"/>
          <w:sz w:val="20"/>
          <w:szCs w:val="24"/>
          <w:lang w:eastAsia="lt-LT"/>
        </w:rPr>
        <w:t>ėj</w:t>
      </w:r>
      <w:r w:rsidR="002552E2" w:rsidRPr="00770CF4">
        <w:rPr>
          <w:rFonts w:ascii="Helvetica" w:eastAsia="Times New Roman" w:hAnsi="Helvetica" w:cs="Arial"/>
          <w:sz w:val="20"/>
          <w:szCs w:val="24"/>
          <w:lang w:eastAsia="lt-LT"/>
        </w:rPr>
        <w:t>imo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naviko augimo sulėtėji</w:t>
      </w:r>
      <w:r w:rsidR="007D5C77" w:rsidRPr="00770CF4">
        <w:rPr>
          <w:rFonts w:ascii="Helvetica" w:eastAsia="Times New Roman" w:hAnsi="Helvetica" w:cs="Arial"/>
          <w:sz w:val="20"/>
          <w:szCs w:val="24"/>
          <w:lang w:eastAsia="lt-LT"/>
        </w:rPr>
        <w:t>mo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poveiki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527989" w:rsidRPr="00770CF4">
        <w:rPr>
          <w:rFonts w:ascii="Helvetica" w:eastAsia="Times New Roman" w:hAnsi="Helvetica" w:cs="Arial"/>
          <w:sz w:val="20"/>
          <w:szCs w:val="24"/>
          <w:lang w:eastAsia="lt-LT"/>
        </w:rPr>
        <w:t>, pasireiškiančio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toliau nuo taikinio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naviko metastazių slopinim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metasta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>tinių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pažeidimų sumažėjim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laikui bėgant, maž</w:t>
      </w:r>
      <w:r w:rsidR="00527989" w:rsidRPr="00770CF4">
        <w:rPr>
          <w:rFonts w:ascii="Helvetica" w:eastAsia="Times New Roman" w:hAnsi="Helvetica" w:cs="Arial"/>
          <w:sz w:val="20"/>
          <w:szCs w:val="24"/>
          <w:lang w:eastAsia="lt-LT"/>
        </w:rPr>
        <w:t>esn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chemoterapinių ar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citotoksinių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medžiagų vartojim</w:t>
      </w:r>
      <w:r w:rsidR="00F951F2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naviko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neigiamo poveikio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sumažėjim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išgyvenamumo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padidėjim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o, nesant ligos progresavimo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bendr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išgyvenamum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o padidėjimo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pilno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atsak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dalin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atsak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="00ED08DF" w:rsidRPr="00770CF4">
        <w:rPr>
          <w:rFonts w:ascii="Helvetica" w:eastAsia="Times New Roman" w:hAnsi="Helvetica" w:cs="Arial"/>
          <w:sz w:val="20"/>
          <w:szCs w:val="24"/>
          <w:lang w:eastAsia="lt-LT"/>
        </w:rPr>
        <w:t>ligos stabilizavimo.</w:t>
      </w:r>
    </w:p>
    <w:p w14:paraId="5E750FCA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BB431BF" w14:textId="276C6559" w:rsidR="00393B90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8669A1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8669A1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būdu</w:t>
      </w:r>
      <w:r w:rsidR="008669A1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1-7 punktų, kur antikūnas</w:t>
      </w:r>
      <w:r w:rsidR="008669A1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PD-1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antigeną 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 yra 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skiriamas kaip </w:t>
      </w:r>
      <w:proofErr w:type="spellStart"/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monoterapija</w:t>
      </w:r>
      <w:proofErr w:type="spellEnd"/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422592F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57476E3" w14:textId="38E5A10C" w:rsidR="00AE1642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fragmentas, skirtas naudoti būdu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1-8 punktų, kur minėtas būdas</w:t>
      </w:r>
      <w:r w:rsidR="00D14E1D" w:rsidRPr="00770CF4">
        <w:rPr>
          <w:rFonts w:ascii="Helvetica" w:eastAsia="Times New Roman" w:hAnsi="Helvetica" w:cs="Arial"/>
          <w:sz w:val="20"/>
          <w:szCs w:val="24"/>
          <w:lang w:eastAsia="lt-LT"/>
        </w:rPr>
        <w:t>, be to, dar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papildomo terapinio agento arba terapijos skyrimą pacientui, kur papildomas terapinis agentas arba terapija yra parinkta iš grupės, susidedančios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chirurgij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spinduliuotė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chemoterapini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agent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vėžio vakcin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programuot</w:t>
      </w:r>
      <w:r w:rsidR="00D14E1D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žū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ties ligando 1 (PD-L1) inhibitori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limfocitų aktyvinimo geno 3 (LAG3) inhibitori</w:t>
      </w:r>
      <w:r w:rsidR="00393B90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</w:t>
      </w:r>
      <w:r w:rsidR="00D14E1D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="00712332" w:rsidRPr="00770CF4">
        <w:rPr>
          <w:rFonts w:ascii="Helvetica" w:hAnsi="Helvetica"/>
          <w:sz w:val="20"/>
        </w:rPr>
        <w:t xml:space="preserve"> </w:t>
      </w:r>
      <w:proofErr w:type="spellStart"/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citotoksiniais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T-limfocitais susi</w:t>
      </w:r>
      <w:r w:rsidR="00D14E1D" w:rsidRPr="00770CF4">
        <w:rPr>
          <w:rFonts w:ascii="Helvetica" w:eastAsia="Times New Roman" w:hAnsi="Helvetica" w:cs="Arial"/>
          <w:sz w:val="20"/>
          <w:szCs w:val="24"/>
          <w:lang w:eastAsia="lt-LT"/>
        </w:rPr>
        <w:t>jusio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baltym</w:t>
      </w:r>
      <w:r w:rsidR="00D14E1D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4 (CTLA-4) inhibitori</w:t>
      </w:r>
      <w:r w:rsidR="00D14E1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T ląstelių imunoglobulino ir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mucino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domen</w:t>
      </w:r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turin</w:t>
      </w:r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-3 (TIM3) inhibitori</w:t>
      </w:r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B ir T limfocitų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atenuatoriaus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(BTLA) inhibitori</w:t>
      </w:r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T ląstelių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imunoreceptori</w:t>
      </w:r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su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Ig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ir ITIM domenais (TIGIT) inhibitori</w:t>
      </w:r>
      <w:r w:rsidR="00712332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CD47 inhibitori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indoleamino-2,3-dioksigenazės (IDO) inhibitori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bispecifini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anti-CD3/anti-CD20 antikūn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kraujagyslių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endotelio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augimo faktoriaus (VEGF) antagonist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angiopoetino-2 (Ang2) inhibitori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transformuojan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augimo faktori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 beta (TGFβ) inhibitori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CD38 inhibitori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epidermio augim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faktoriaus receptoriaus (EGFR) inhibitori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granul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ocitų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makrofagų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kolonijas stimuliuojan</w:t>
      </w:r>
      <w:r w:rsidR="00B215CD" w:rsidRPr="00770CF4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faktori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 (GM-CSF),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ciklofosfamid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antikūn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navikui specifinį antigeną,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Bacillus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Calmette-Guerin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vakcin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citotoksin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interleukino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6 receptoriaus (IL-6R) inhibitori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us,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interleukino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4 receptoriaus (IL-4R) inhibitori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IL-10 inhibitori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us, IL-2, IL-7, IL-21, IL-15, antikūn</w:t>
      </w:r>
      <w:r w:rsidR="00C9468F" w:rsidRPr="00770CF4">
        <w:rPr>
          <w:rFonts w:ascii="Helvetica" w:eastAsia="Times New Roman" w:hAnsi="Helvetica" w:cs="Arial"/>
          <w:sz w:val="20"/>
          <w:szCs w:val="24"/>
          <w:lang w:eastAsia="lt-LT"/>
        </w:rPr>
        <w:t>o-</w:t>
      </w:r>
      <w:r w:rsidR="00AE1642" w:rsidRPr="00770CF4">
        <w:rPr>
          <w:rFonts w:ascii="Helvetica" w:hAnsi="Helvetica"/>
          <w:sz w:val="20"/>
        </w:rPr>
        <w:t xml:space="preserve"> </w:t>
      </w:r>
      <w:r w:rsidR="00AE164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</w:t>
      </w:r>
      <w:proofErr w:type="spellStart"/>
      <w:r w:rsidR="00AE1642" w:rsidRPr="00770CF4">
        <w:rPr>
          <w:rFonts w:ascii="Helvetica" w:eastAsia="Times New Roman" w:hAnsi="Helvetica" w:cs="Arial"/>
          <w:sz w:val="20"/>
          <w:szCs w:val="24"/>
          <w:lang w:eastAsia="lt-LT"/>
        </w:rPr>
        <w:t>konjugato</w:t>
      </w:r>
      <w:proofErr w:type="spellEnd"/>
      <w:r w:rsidR="00AE1642" w:rsidRPr="00770CF4">
        <w:rPr>
          <w:rFonts w:ascii="Helvetica" w:eastAsia="Times New Roman" w:hAnsi="Helvetica" w:cs="Arial"/>
          <w:sz w:val="20"/>
          <w:szCs w:val="24"/>
          <w:lang w:eastAsia="lt-LT"/>
        </w:rPr>
        <w:t>, priešuždegiminio vaisto ir maisto papildo.</w:t>
      </w:r>
    </w:p>
    <w:p w14:paraId="6207F64F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433CAB2" w14:textId="03D1EADF" w:rsidR="00007122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Antikūnas, skirtas naudoti būdu</w:t>
      </w:r>
      <w:r w:rsidR="00463DF8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1-9 punktų, kur antikūnas</w:t>
      </w:r>
      <w:r w:rsidR="0000712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</w:t>
      </w:r>
      <w:r w:rsidR="00007122" w:rsidRPr="00770CF4">
        <w:rPr>
          <w:rFonts w:ascii="Helvetica" w:hAnsi="Helvetica"/>
          <w:sz w:val="20"/>
        </w:rPr>
        <w:t xml:space="preserve"> </w:t>
      </w:r>
      <w:r w:rsidR="0000712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yra įvedamas intraveniniu, </w:t>
      </w:r>
      <w:proofErr w:type="spellStart"/>
      <w:r w:rsidR="00007122" w:rsidRPr="00770CF4">
        <w:rPr>
          <w:rFonts w:ascii="Helvetica" w:eastAsia="Times New Roman" w:hAnsi="Helvetica" w:cs="Arial"/>
          <w:sz w:val="20"/>
          <w:szCs w:val="24"/>
          <w:lang w:eastAsia="lt-LT"/>
        </w:rPr>
        <w:t>subkutaniniu</w:t>
      </w:r>
      <w:proofErr w:type="spellEnd"/>
      <w:r w:rsidR="0000712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="00007122" w:rsidRPr="00770CF4">
        <w:rPr>
          <w:rFonts w:ascii="Helvetica" w:eastAsia="Times New Roman" w:hAnsi="Helvetica" w:cs="Arial"/>
          <w:sz w:val="20"/>
          <w:szCs w:val="24"/>
          <w:lang w:eastAsia="lt-LT"/>
        </w:rPr>
        <w:t>intraperitoniniu</w:t>
      </w:r>
      <w:proofErr w:type="spellEnd"/>
      <w:r w:rsidR="00007122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būdu.</w:t>
      </w:r>
    </w:p>
    <w:p w14:paraId="7F58C25C" w14:textId="272C2CED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7864B9A" w14:textId="5B6201DE" w:rsidR="00683AFE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skirtas naudoti būdu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1-10 punktų, kur antikūnas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683AFE" w:rsidRPr="00770CF4">
        <w:rPr>
          <w:rFonts w:ascii="Helvetica" w:hAnsi="Helvetica"/>
          <w:sz w:val="20"/>
        </w:rPr>
        <w:t xml:space="preserve">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arba antigeną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 apima HCVR, </w:t>
      </w:r>
      <w:bookmarkStart w:id="2" w:name="_Hlk88400691"/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kuri pasižymi </w:t>
      </w:r>
      <w:bookmarkEnd w:id="2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mažiausiai 90% sekos tapatum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 ir (arba) antikūnas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3" w:name="_Hlk88400977"/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683AFE" w:rsidRPr="00770CF4">
        <w:rPr>
          <w:rFonts w:ascii="Helvetica" w:hAnsi="Helvetica"/>
          <w:sz w:val="20"/>
        </w:rPr>
        <w:t xml:space="preserve">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</w:t>
      </w:r>
      <w:bookmarkEnd w:id="3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arba antigeną surišantis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apima LCVR, </w:t>
      </w:r>
      <w:r w:rsidR="00683AFE" w:rsidRPr="00770CF4">
        <w:rPr>
          <w:rFonts w:ascii="Helvetica" w:eastAsia="Times New Roman" w:hAnsi="Helvetica" w:cs="Arial"/>
          <w:sz w:val="20"/>
          <w:szCs w:val="24"/>
          <w:lang w:eastAsia="lt-LT"/>
        </w:rPr>
        <w:t>kuri pasižymi mažiausiai 90% sekos tapatumu SEQ ID Nr. 2.</w:t>
      </w:r>
    </w:p>
    <w:p w14:paraId="4D573732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6F50A34" w14:textId="77777777" w:rsidR="008F4A9F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fragmentas, skirtas naudoti būdu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1-11 punktų, kur HCVR apima aminorūgščių seką SEQ ID Nr. 1, o LCVR apima 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>aminorūgščių seką SEQ ID Nr. 2.</w:t>
      </w:r>
    </w:p>
    <w:p w14:paraId="1662AA22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88F3C2C" w14:textId="5A0BBE28" w:rsidR="00314985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Antikūnas, skirtas naudoti būdu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1-11 punktų, kur antikūnas 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314985" w:rsidRPr="00770CF4">
        <w:rPr>
          <w:rFonts w:ascii="Helvetica" w:hAnsi="Helvetica"/>
          <w:sz w:val="20"/>
        </w:rPr>
        <w:t xml:space="preserve"> 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apima sunkiąją grandinę, apimančią aminorūgščių seką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9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ir lengvąją </w:t>
      </w:r>
      <w:r w:rsidR="00314985" w:rsidRPr="00770CF4">
        <w:rPr>
          <w:rFonts w:ascii="Helvetica" w:eastAsia="Times New Roman" w:hAnsi="Helvetica" w:cs="Arial"/>
          <w:sz w:val="20"/>
          <w:szCs w:val="24"/>
          <w:lang w:eastAsia="lt-LT"/>
        </w:rPr>
        <w:t>grandinę, apimančią aminorūgščių seką SEQ ID Nr. 10.</w:t>
      </w:r>
    </w:p>
    <w:p w14:paraId="4C2F9B1A" w14:textId="77777777" w:rsidR="008F4A9F" w:rsidRPr="00770CF4" w:rsidRDefault="008F4A9F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0002B74" w14:textId="283CF159" w:rsidR="004F2215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kuris specifiškai 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suriša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PD-1, skirtas naudoti naviko gydymo arba augimo slopinimo būdu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minėtas 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das apima:</w:t>
      </w:r>
    </w:p>
    <w:p w14:paraId="718FBA62" w14:textId="5F4AAD99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(a) paciento, sergančio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metastazavusia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odos plokščiųjų ląstelių karcinoma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(OPLK)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arba lokaliai pažengusia 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OPLK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, atranką, kur pacientas nėra kandidat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gydomąj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chirurgij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gydomąj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spinduliuot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ei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31EE391D" w14:textId="51764D90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(b)</w:t>
      </w:r>
      <w:r w:rsidR="00861B11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antikūno, kuris specifiškai 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riš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asi su PD-1</w:t>
      </w:r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>terapiškai</w:t>
      </w:r>
      <w:proofErr w:type="spellEnd"/>
      <w:r w:rsidR="00D07BE4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veiksmingo kiekio</w:t>
      </w:r>
      <w:r w:rsidR="00861B11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skyrimą pacientui, kuriam reikalingas toks gydymas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; kur antikūnas</w:t>
      </w:r>
      <w:r w:rsidR="00861B11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 PD-1</w:t>
      </w:r>
      <w:r w:rsidR="008F4A9F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apima tris sunkiosios grandinės </w:t>
      </w:r>
      <w:bookmarkStart w:id="4" w:name="_Hlk88401628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kintamos srities </w:t>
      </w:r>
      <w:bookmarkEnd w:id="4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(HCVR)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5" w:name="_Hlk88401763"/>
      <w:r w:rsidR="00861B11" w:rsidRPr="00770CF4">
        <w:rPr>
          <w:rFonts w:ascii="Helvetica" w:eastAsia="Times New Roman" w:hAnsi="Helvetica" w:cs="Arial"/>
          <w:sz w:val="20"/>
          <w:szCs w:val="24"/>
          <w:lang w:eastAsia="lt-LT"/>
        </w:rPr>
        <w:t>apsprendž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iančias</w:t>
      </w:r>
      <w:bookmarkEnd w:id="5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(HCDR1, HCDR2 ir HCDR3) ir tris lengvosios grandinės </w:t>
      </w:r>
      <w:r w:rsidR="00861B11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kintamos srities (LCVR) </w:t>
      </w:r>
      <w:proofErr w:type="spellStart"/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apsprendžiančias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(LCDR1, LCDR2 ir LCDR3)</w:t>
      </w:r>
      <w:r w:rsidR="00861B11" w:rsidRPr="00770CF4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1B11DC96" w14:textId="097AE274" w:rsidR="004F2215" w:rsidRPr="00770CF4" w:rsidRDefault="00463DF8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k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F2215" w:rsidRPr="00770CF4">
        <w:rPr>
          <w:rFonts w:ascii="Helvetica" w:eastAsia="Times New Roman" w:hAnsi="Helvetica" w:cs="Arial"/>
          <w:sz w:val="20"/>
          <w:szCs w:val="24"/>
          <w:lang w:eastAsia="lt-LT"/>
        </w:rPr>
        <w:t>HCDR1 apima aminorūgščių seką SEQ ID Nr. 3; HCDR2 apima aminorūgščių seką SEQ ID Nr. 4; HCDR3 apima aminorūgščių seką SEQ ID Nr. 5; LCDR1 apima aminorūgščių seką SEQ ID Nr. 6; LCDR2 apima aminorūgščių seką SEQ ID Nr. 7; ir LCDR3 apima aminorūgščių seką SEQ ID Nr. 8; ir</w:t>
      </w:r>
    </w:p>
    <w:p w14:paraId="1748322C" w14:textId="77777777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kur antikūnas yra įvedamas į veną kas tris savaites 350 mg doze.</w:t>
      </w:r>
    </w:p>
    <w:p w14:paraId="47B986FE" w14:textId="254F0982" w:rsidR="004F2215" w:rsidRPr="00770CF4" w:rsidRDefault="004F2215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534267C" w14:textId="1C3985B5" w:rsidR="00124493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770CF4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Antikūnas, skirtas naudoti būdu</w:t>
      </w:r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14 punktą, kur antikūnas</w:t>
      </w:r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prieš</w:t>
      </w:r>
      <w:r w:rsidR="003F6926" w:rsidRPr="00770CF4">
        <w:rPr>
          <w:rFonts w:ascii="Helvetica" w:hAnsi="Helvetica"/>
          <w:sz w:val="20"/>
        </w:rPr>
        <w:t xml:space="preserve"> </w:t>
      </w:r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apima HCVR, apiman</w:t>
      </w:r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</w:t>
      </w:r>
      <w:r w:rsidR="003F6926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ir LCVR, apimančią aminorūgščių </w:t>
      </w:r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>seką SEQ ID Nr. 2.</w:t>
      </w:r>
    </w:p>
    <w:p w14:paraId="5D2CC037" w14:textId="77777777" w:rsidR="00770CF4" w:rsidRPr="00770CF4" w:rsidRDefault="00770CF4" w:rsidP="00770CF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36A2CD2" w14:textId="738BD1DE" w:rsidR="0004225C" w:rsidRPr="00770CF4" w:rsidRDefault="004F2215" w:rsidP="00770CF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770CF4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Antikūnas, skirtas naudoti būdu</w:t>
      </w:r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14 arba 15 punktų, kur antikūnas </w:t>
      </w:r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>prieš</w:t>
      </w:r>
      <w:r w:rsidR="00124493" w:rsidRPr="00770CF4">
        <w:rPr>
          <w:rFonts w:ascii="Helvetica" w:hAnsi="Helvetica"/>
          <w:sz w:val="20"/>
        </w:rPr>
        <w:t xml:space="preserve"> </w:t>
      </w:r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PD-1 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>apima sunkiąją grandinę, apimančią aminorūgščių seką</w:t>
      </w:r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9</w:t>
      </w:r>
      <w:r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, ir </w:t>
      </w:r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lengvąją grandinę, apimančią aminorūgščių seką </w:t>
      </w:r>
      <w:bookmarkStart w:id="6" w:name="_Hlk88402392"/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</w:t>
      </w:r>
      <w:bookmarkEnd w:id="6"/>
      <w:r w:rsidR="00124493" w:rsidRPr="00770CF4">
        <w:rPr>
          <w:rFonts w:ascii="Helvetica" w:eastAsia="Times New Roman" w:hAnsi="Helvetica" w:cs="Arial"/>
          <w:sz w:val="20"/>
          <w:szCs w:val="24"/>
          <w:lang w:eastAsia="lt-LT"/>
        </w:rPr>
        <w:t>10.</w:t>
      </w:r>
    </w:p>
    <w:sectPr w:rsidR="0004225C" w:rsidRPr="00770CF4" w:rsidSect="00770CF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EDC4" w14:textId="77777777" w:rsidR="008A4062" w:rsidRDefault="008A4062" w:rsidP="001F72BB">
      <w:pPr>
        <w:spacing w:after="0" w:line="240" w:lineRule="auto"/>
      </w:pPr>
      <w:r>
        <w:separator/>
      </w:r>
    </w:p>
  </w:endnote>
  <w:endnote w:type="continuationSeparator" w:id="0">
    <w:p w14:paraId="2544FF49" w14:textId="77777777" w:rsidR="008A4062" w:rsidRDefault="008A4062" w:rsidP="001F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8A47" w14:textId="77777777" w:rsidR="008A4062" w:rsidRDefault="008A4062" w:rsidP="001F72BB">
      <w:pPr>
        <w:spacing w:after="0" w:line="240" w:lineRule="auto"/>
      </w:pPr>
      <w:r>
        <w:separator/>
      </w:r>
    </w:p>
  </w:footnote>
  <w:footnote w:type="continuationSeparator" w:id="0">
    <w:p w14:paraId="3CA61796" w14:textId="77777777" w:rsidR="008A4062" w:rsidRDefault="008A4062" w:rsidP="001F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15"/>
    <w:rsid w:val="00007122"/>
    <w:rsid w:val="0004225C"/>
    <w:rsid w:val="000F0053"/>
    <w:rsid w:val="00124493"/>
    <w:rsid w:val="00143DB5"/>
    <w:rsid w:val="0017616F"/>
    <w:rsid w:val="001A4377"/>
    <w:rsid w:val="001F72BB"/>
    <w:rsid w:val="00216969"/>
    <w:rsid w:val="002552E2"/>
    <w:rsid w:val="002F187A"/>
    <w:rsid w:val="00314985"/>
    <w:rsid w:val="00393B90"/>
    <w:rsid w:val="003F6926"/>
    <w:rsid w:val="00463DF8"/>
    <w:rsid w:val="004F2215"/>
    <w:rsid w:val="00527989"/>
    <w:rsid w:val="00553D28"/>
    <w:rsid w:val="00683AFE"/>
    <w:rsid w:val="007114B8"/>
    <w:rsid w:val="00712332"/>
    <w:rsid w:val="00770CF4"/>
    <w:rsid w:val="0077604E"/>
    <w:rsid w:val="007D5C77"/>
    <w:rsid w:val="00861B11"/>
    <w:rsid w:val="008669A1"/>
    <w:rsid w:val="008A4062"/>
    <w:rsid w:val="008F4A9F"/>
    <w:rsid w:val="00A459D2"/>
    <w:rsid w:val="00AA5FDE"/>
    <w:rsid w:val="00AE1642"/>
    <w:rsid w:val="00B215CD"/>
    <w:rsid w:val="00B5349C"/>
    <w:rsid w:val="00C1729F"/>
    <w:rsid w:val="00C9468F"/>
    <w:rsid w:val="00CF63BC"/>
    <w:rsid w:val="00D07BE4"/>
    <w:rsid w:val="00D14E1D"/>
    <w:rsid w:val="00DB2BE5"/>
    <w:rsid w:val="00ED08DF"/>
    <w:rsid w:val="00F67857"/>
    <w:rsid w:val="00F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ACB4B"/>
  <w15:chartTrackingRefBased/>
  <w15:docId w15:val="{B44F9D42-8C4E-436D-B73E-44027BF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F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72BB"/>
  </w:style>
  <w:style w:type="paragraph" w:styleId="Porat">
    <w:name w:val="footer"/>
    <w:basedOn w:val="prastasis"/>
    <w:link w:val="PoratDiagrama"/>
    <w:uiPriority w:val="99"/>
    <w:unhideWhenUsed/>
    <w:rsid w:val="001F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1036</Words>
  <Characters>6554</Characters>
  <Application>Microsoft Office Word</Application>
  <DocSecurity>0</DocSecurity>
  <Lines>99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8</cp:revision>
  <dcterms:created xsi:type="dcterms:W3CDTF">2021-11-20T14:22:00Z</dcterms:created>
  <dcterms:modified xsi:type="dcterms:W3CDTF">2021-11-26T09:46:00Z</dcterms:modified>
</cp:coreProperties>
</file>