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F20F" w14:textId="42C365DA" w:rsidR="004B5793" w:rsidRPr="00EE3762" w:rsidRDefault="00B70727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621A68"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="00621A68"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3C409A" w:rsidRPr="00EE3762">
        <w:rPr>
          <w:rFonts w:ascii="Helvetica" w:hAnsi="Helvetica" w:cs="Arial"/>
          <w:sz w:val="20"/>
          <w:lang w:val="lt-LT"/>
        </w:rPr>
        <w:t xml:space="preserve">jo </w:t>
      </w:r>
      <w:r w:rsidR="00621A68"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="00621A68"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="00621A68"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21A68"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="00621A68"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21A68"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="00621A68"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="00621A68"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="00621A68" w:rsidRPr="00EE3762">
        <w:rPr>
          <w:rFonts w:ascii="Helvetica" w:hAnsi="Helvetica" w:cs="Arial"/>
          <w:sz w:val="20"/>
          <w:lang w:val="lt-LT"/>
        </w:rPr>
        <w:t xml:space="preserve"> ir kontrolinio taško inhibitorius, skirti </w:t>
      </w:r>
      <w:r w:rsidR="003C409A" w:rsidRPr="00EE3762">
        <w:rPr>
          <w:rFonts w:ascii="Helvetica" w:hAnsi="Helvetica" w:cs="Arial"/>
          <w:sz w:val="20"/>
          <w:lang w:val="lt-LT"/>
        </w:rPr>
        <w:t>pa</w:t>
      </w:r>
      <w:r w:rsidR="00621A68" w:rsidRPr="00EE3762">
        <w:rPr>
          <w:rFonts w:ascii="Helvetica" w:hAnsi="Helvetica" w:cs="Arial"/>
          <w:sz w:val="20"/>
          <w:lang w:val="lt-LT"/>
        </w:rPr>
        <w:t xml:space="preserve">naudoti </w:t>
      </w:r>
      <w:r w:rsidR="003C409A" w:rsidRPr="00EE3762">
        <w:rPr>
          <w:rFonts w:ascii="Helvetica" w:hAnsi="Helvetica" w:cs="Arial"/>
          <w:sz w:val="20"/>
          <w:lang w:val="lt-LT"/>
        </w:rPr>
        <w:t xml:space="preserve">taikant </w:t>
      </w:r>
      <w:r w:rsidR="00621A68" w:rsidRPr="00EE3762">
        <w:rPr>
          <w:rFonts w:ascii="Helvetica" w:hAnsi="Helvetica" w:cs="Arial"/>
          <w:sz w:val="20"/>
          <w:lang w:val="lt-LT"/>
        </w:rPr>
        <w:t>paciento vėžio gydymo būd</w:t>
      </w:r>
      <w:r w:rsidR="003C409A" w:rsidRPr="00EE3762">
        <w:rPr>
          <w:rFonts w:ascii="Helvetica" w:hAnsi="Helvetica" w:cs="Arial"/>
          <w:sz w:val="20"/>
          <w:lang w:val="lt-LT"/>
        </w:rPr>
        <w:t>ą</w:t>
      </w:r>
      <w:r w:rsidR="00621A68" w:rsidRPr="00EE3762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="00621A68" w:rsidRPr="00EE3762">
        <w:rPr>
          <w:rFonts w:ascii="Helvetica" w:hAnsi="Helvetica" w:cs="Arial"/>
          <w:sz w:val="20"/>
          <w:lang w:val="lt-LT"/>
        </w:rPr>
        <w:t>riluzolo</w:t>
      </w:r>
      <w:proofErr w:type="spellEnd"/>
      <w:r w:rsidR="00621A68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21A68" w:rsidRPr="00EE3762">
        <w:rPr>
          <w:rFonts w:ascii="Helvetica" w:hAnsi="Helvetica" w:cs="Arial"/>
          <w:sz w:val="20"/>
          <w:lang w:val="lt-LT"/>
        </w:rPr>
        <w:t>provaistai</w:t>
      </w:r>
      <w:proofErr w:type="spellEnd"/>
      <w:r w:rsidR="00621A68" w:rsidRPr="00EE3762">
        <w:rPr>
          <w:rFonts w:ascii="Helvetica" w:hAnsi="Helvetica" w:cs="Arial"/>
          <w:sz w:val="20"/>
          <w:lang w:val="lt-LT"/>
        </w:rPr>
        <w:t xml:space="preserve"> yra junginiai, </w:t>
      </w:r>
      <w:r w:rsidR="003C409A" w:rsidRPr="00EE3762">
        <w:rPr>
          <w:rFonts w:ascii="Helvetica" w:hAnsi="Helvetica" w:cs="Arial"/>
          <w:sz w:val="20"/>
          <w:lang w:val="lt-LT"/>
        </w:rPr>
        <w:t>kurių</w:t>
      </w:r>
      <w:r w:rsidR="00621A68" w:rsidRPr="00EE3762">
        <w:rPr>
          <w:rFonts w:ascii="Helvetica" w:hAnsi="Helvetica" w:cs="Arial"/>
          <w:sz w:val="20"/>
          <w:lang w:val="lt-LT"/>
        </w:rPr>
        <w:t xml:space="preserve"> formul</w:t>
      </w:r>
      <w:r w:rsidR="003C409A" w:rsidRPr="00EE3762">
        <w:rPr>
          <w:rFonts w:ascii="Helvetica" w:hAnsi="Helvetica" w:cs="Arial"/>
          <w:sz w:val="20"/>
          <w:lang w:val="lt-LT"/>
        </w:rPr>
        <w:t>ė yra žemiau nurodyta</w:t>
      </w:r>
      <w:r w:rsidR="00621A68" w:rsidRPr="00EE3762">
        <w:rPr>
          <w:rFonts w:ascii="Helvetica" w:hAnsi="Helvetica" w:cs="Arial"/>
          <w:sz w:val="20"/>
          <w:lang w:val="lt-LT"/>
        </w:rPr>
        <w:t xml:space="preserve">; </w:t>
      </w:r>
    </w:p>
    <w:p w14:paraId="40B61EC6" w14:textId="33882DAB" w:rsidR="004B5793" w:rsidRPr="00EE3762" w:rsidRDefault="00EE3762" w:rsidP="00EE376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pict w14:anchorId="1F1CD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89.1pt">
            <v:imagedata r:id="rId7" o:title=""/>
          </v:shape>
        </w:pict>
      </w:r>
    </w:p>
    <w:p w14:paraId="16EEBF72" w14:textId="77777777" w:rsidR="003C409A" w:rsidRPr="00EE3762" w:rsidRDefault="00621A68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 xml:space="preserve">arba jo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diastereomeras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farmaciniu požiūriu priimtina </w:t>
      </w:r>
      <w:r w:rsidR="003C409A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 arba kompleksas; </w:t>
      </w:r>
    </w:p>
    <w:p w14:paraId="61738098" w14:textId="02B079D8" w:rsidR="00621A68" w:rsidRPr="00EE3762" w:rsidRDefault="00621A68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>kur R</w:t>
      </w:r>
      <w:r w:rsidRPr="00EE3762">
        <w:rPr>
          <w:rFonts w:ascii="Helvetica" w:hAnsi="Helvetica" w:cs="Arial"/>
          <w:sz w:val="20"/>
          <w:vertAlign w:val="superscript"/>
          <w:lang w:val="lt-LT"/>
        </w:rPr>
        <w:t>23</w:t>
      </w:r>
      <w:r w:rsidRPr="00EE3762">
        <w:rPr>
          <w:rFonts w:ascii="Helvetica" w:hAnsi="Helvetica" w:cs="Arial"/>
          <w:sz w:val="20"/>
          <w:lang w:val="lt-LT"/>
        </w:rPr>
        <w:t xml:space="preserve"> yra pa</w:t>
      </w:r>
      <w:r w:rsidR="003C409A" w:rsidRPr="00EE3762">
        <w:rPr>
          <w:rFonts w:ascii="Helvetica" w:hAnsi="Helvetica" w:cs="Arial"/>
          <w:sz w:val="20"/>
          <w:lang w:val="lt-LT"/>
        </w:rPr>
        <w:t>si</w:t>
      </w:r>
      <w:r w:rsidRPr="00EE3762">
        <w:rPr>
          <w:rFonts w:ascii="Helvetica" w:hAnsi="Helvetica" w:cs="Arial"/>
          <w:sz w:val="20"/>
          <w:lang w:val="lt-LT"/>
        </w:rPr>
        <w:t xml:space="preserve">rinktas iš grupės, susidedančios iš </w:t>
      </w:r>
      <w:r w:rsidR="003C409A" w:rsidRPr="00EE3762">
        <w:rPr>
          <w:rFonts w:ascii="Helvetica" w:hAnsi="Helvetica" w:cs="Arial"/>
          <w:sz w:val="20"/>
          <w:lang w:val="lt-LT"/>
        </w:rPr>
        <w:t>H,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3</w:t>
      </w:r>
      <w:r w:rsidR="003C409A" w:rsidRPr="00EE3762">
        <w:rPr>
          <w:rFonts w:ascii="Helvetica" w:hAnsi="Helvetica" w:cs="Arial"/>
          <w:sz w:val="20"/>
          <w:lang w:val="lt-LT"/>
        </w:rPr>
        <w:t>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3</w:t>
      </w:r>
      <w:r w:rsidR="003C409A" w:rsidRPr="00EE3762">
        <w:rPr>
          <w:rFonts w:ascii="Helvetica" w:hAnsi="Helvetica" w:cs="Arial"/>
          <w:sz w:val="20"/>
          <w:lang w:val="lt-LT"/>
        </w:rPr>
        <w:t>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3</w:t>
      </w:r>
      <w:r w:rsidR="003C409A" w:rsidRPr="00EE3762">
        <w:rPr>
          <w:rFonts w:ascii="Helvetica" w:hAnsi="Helvetica" w:cs="Arial"/>
          <w:sz w:val="20"/>
          <w:lang w:val="lt-LT"/>
        </w:rPr>
        <w:t>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CCH, CH(CH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3</w:t>
      </w:r>
      <w:r w:rsidR="003C409A" w:rsidRPr="00EE3762">
        <w:rPr>
          <w:rFonts w:ascii="Helvetica" w:hAnsi="Helvetica" w:cs="Arial"/>
          <w:sz w:val="20"/>
          <w:lang w:val="lt-LT"/>
        </w:rPr>
        <w:t>)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CH(CH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3</w:t>
      </w:r>
      <w:r w:rsidR="003C409A" w:rsidRPr="00EE3762">
        <w:rPr>
          <w:rFonts w:ascii="Helvetica" w:hAnsi="Helvetica" w:cs="Arial"/>
          <w:sz w:val="20"/>
          <w:lang w:val="lt-LT"/>
        </w:rPr>
        <w:t>)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, CH(CH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3</w:t>
      </w:r>
      <w:r w:rsidR="003C409A" w:rsidRPr="00EE3762">
        <w:rPr>
          <w:rFonts w:ascii="Helvetica" w:hAnsi="Helvetica" w:cs="Arial"/>
          <w:sz w:val="20"/>
          <w:lang w:val="lt-LT"/>
        </w:rPr>
        <w:t>)CH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3</w:t>
      </w:r>
      <w:r w:rsidR="003C409A" w:rsidRPr="00EE3762">
        <w:rPr>
          <w:rFonts w:ascii="Helvetica" w:hAnsi="Helvetica" w:cs="Arial"/>
          <w:sz w:val="20"/>
          <w:lang w:val="lt-LT"/>
        </w:rPr>
        <w:t>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OH,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OCH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Ph,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OCH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Ph, CH(OH)CH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3</w:t>
      </w:r>
      <w:r w:rsidR="003C409A" w:rsidRPr="00EE3762">
        <w:rPr>
          <w:rFonts w:ascii="Helvetica" w:hAnsi="Helvetica" w:cs="Arial"/>
          <w:sz w:val="20"/>
          <w:lang w:val="lt-LT"/>
        </w:rPr>
        <w:t>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Ph,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(</w:t>
      </w:r>
      <w:proofErr w:type="spellStart"/>
      <w:r w:rsidR="003C409A" w:rsidRPr="00EE3762">
        <w:rPr>
          <w:rFonts w:ascii="Helvetica" w:hAnsi="Helvetica" w:cs="Arial"/>
          <w:sz w:val="20"/>
          <w:lang w:val="lt-LT"/>
        </w:rPr>
        <w:t>c</w:t>
      </w:r>
      <w:r w:rsidR="00501995" w:rsidRPr="00EE3762">
        <w:rPr>
          <w:rFonts w:ascii="Helvetica" w:hAnsi="Helvetica" w:cs="Arial"/>
          <w:sz w:val="20"/>
          <w:lang w:val="lt-LT"/>
        </w:rPr>
        <w:t>ik</w:t>
      </w:r>
      <w:r w:rsidR="003C409A" w:rsidRPr="00EE3762">
        <w:rPr>
          <w:rFonts w:ascii="Helvetica" w:hAnsi="Helvetica" w:cs="Arial"/>
          <w:sz w:val="20"/>
          <w:lang w:val="lt-LT"/>
        </w:rPr>
        <w:t>lohe</w:t>
      </w:r>
      <w:r w:rsidR="00501995" w:rsidRPr="00EE3762">
        <w:rPr>
          <w:rFonts w:ascii="Helvetica" w:hAnsi="Helvetica" w:cs="Arial"/>
          <w:sz w:val="20"/>
          <w:lang w:val="lt-LT"/>
        </w:rPr>
        <w:t>ksilo</w:t>
      </w:r>
      <w:proofErr w:type="spellEnd"/>
      <w:r w:rsidR="003C409A" w:rsidRPr="00EE3762">
        <w:rPr>
          <w:rFonts w:ascii="Helvetica" w:hAnsi="Helvetica" w:cs="Arial"/>
          <w:sz w:val="20"/>
          <w:lang w:val="lt-LT"/>
        </w:rPr>
        <w:t>),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(4-OH-Ph), (CH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)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4</w:t>
      </w:r>
      <w:r w:rsidR="003C409A" w:rsidRPr="00EE3762">
        <w:rPr>
          <w:rFonts w:ascii="Helvetica" w:hAnsi="Helvetica" w:cs="Arial"/>
          <w:sz w:val="20"/>
          <w:lang w:val="lt-LT"/>
        </w:rPr>
        <w:t>NH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, (CH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)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3</w:t>
      </w:r>
      <w:r w:rsidR="003C409A" w:rsidRPr="00EE3762">
        <w:rPr>
          <w:rFonts w:ascii="Helvetica" w:hAnsi="Helvetica" w:cs="Arial"/>
          <w:sz w:val="20"/>
          <w:lang w:val="lt-LT"/>
        </w:rPr>
        <w:t>NHC(NH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)NH,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(3-indol</w:t>
      </w:r>
      <w:r w:rsidR="00501995" w:rsidRPr="00EE3762">
        <w:rPr>
          <w:rFonts w:ascii="Helvetica" w:hAnsi="Helvetica" w:cs="Arial"/>
          <w:sz w:val="20"/>
          <w:lang w:val="lt-LT"/>
        </w:rPr>
        <w:t>o</w:t>
      </w:r>
      <w:r w:rsidR="003C409A" w:rsidRPr="00EE3762">
        <w:rPr>
          <w:rFonts w:ascii="Helvetica" w:hAnsi="Helvetica" w:cs="Arial"/>
          <w:sz w:val="20"/>
          <w:lang w:val="lt-LT"/>
        </w:rPr>
        <w:t>),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(5-imidazol</w:t>
      </w:r>
      <w:r w:rsidR="00501995" w:rsidRPr="00EE3762">
        <w:rPr>
          <w:rFonts w:ascii="Helvetica" w:hAnsi="Helvetica" w:cs="Arial"/>
          <w:sz w:val="20"/>
          <w:lang w:val="lt-LT"/>
        </w:rPr>
        <w:t>o</w:t>
      </w:r>
      <w:r w:rsidR="003C409A" w:rsidRPr="00EE3762">
        <w:rPr>
          <w:rFonts w:ascii="Helvetica" w:hAnsi="Helvetica" w:cs="Arial"/>
          <w:sz w:val="20"/>
          <w:lang w:val="lt-LT"/>
        </w:rPr>
        <w:t>),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CO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H,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CO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H,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CONH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 xml:space="preserve"> ir 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CONH</w:t>
      </w:r>
      <w:r w:rsidR="003C409A" w:rsidRPr="00EE3762">
        <w:rPr>
          <w:rFonts w:ascii="Helvetica" w:hAnsi="Helvetica" w:cs="Arial"/>
          <w:sz w:val="20"/>
          <w:vertAlign w:val="subscript"/>
          <w:lang w:val="lt-LT"/>
        </w:rPr>
        <w:t>2</w:t>
      </w:r>
      <w:r w:rsidR="003C409A" w:rsidRPr="00EE3762">
        <w:rPr>
          <w:rFonts w:ascii="Helvetica" w:hAnsi="Helvetica" w:cs="Arial"/>
          <w:sz w:val="20"/>
          <w:lang w:val="lt-LT"/>
        </w:rPr>
        <w:t>.</w:t>
      </w:r>
    </w:p>
    <w:p w14:paraId="5AD95D4E" w14:textId="77777777" w:rsidR="004B5793" w:rsidRPr="00EE3762" w:rsidRDefault="004B5793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53B2D3" w14:textId="5E45CCD6" w:rsidR="00621A68" w:rsidRPr="00EE3762" w:rsidRDefault="00621A68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>2.</w:t>
      </w:r>
      <w:r w:rsidR="004B5793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501995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kontrolinio taško inhibitorius, skirtas </w:t>
      </w:r>
      <w:r w:rsidR="00501995" w:rsidRPr="00EE3762">
        <w:rPr>
          <w:rFonts w:ascii="Helvetica" w:hAnsi="Helvetica" w:cs="Arial"/>
          <w:sz w:val="20"/>
          <w:lang w:val="lt-LT"/>
        </w:rPr>
        <w:t>pa</w:t>
      </w:r>
      <w:r w:rsidRPr="00EE3762">
        <w:rPr>
          <w:rFonts w:ascii="Helvetica" w:hAnsi="Helvetica" w:cs="Arial"/>
          <w:sz w:val="20"/>
          <w:lang w:val="lt-LT"/>
        </w:rPr>
        <w:t xml:space="preserve">naudoti pagal 1 punktą, kur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501995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</w:t>
      </w:r>
      <w:r w:rsidR="00501995" w:rsidRPr="00EE3762">
        <w:rPr>
          <w:rFonts w:ascii="Helvetica" w:hAnsi="Helvetica" w:cs="Arial"/>
          <w:sz w:val="20"/>
          <w:lang w:val="lt-LT"/>
        </w:rPr>
        <w:t>o</w:t>
      </w:r>
      <w:r w:rsidRPr="00EE3762">
        <w:rPr>
          <w:rFonts w:ascii="Helvetica" w:hAnsi="Helvetica" w:cs="Arial"/>
          <w:sz w:val="20"/>
          <w:lang w:val="lt-LT"/>
        </w:rPr>
        <w:t xml:space="preserve"> tašk</w:t>
      </w:r>
      <w:r w:rsidR="00501995" w:rsidRPr="00EE3762">
        <w:rPr>
          <w:rFonts w:ascii="Helvetica" w:hAnsi="Helvetica" w:cs="Arial"/>
          <w:sz w:val="20"/>
          <w:lang w:val="lt-LT"/>
        </w:rPr>
        <w:t>o</w:t>
      </w:r>
      <w:r w:rsidRPr="00EE3762">
        <w:rPr>
          <w:rFonts w:ascii="Helvetica" w:hAnsi="Helvetica" w:cs="Arial"/>
          <w:sz w:val="20"/>
          <w:lang w:val="lt-LT"/>
        </w:rPr>
        <w:t xml:space="preserve"> inhibitori</w:t>
      </w:r>
      <w:r w:rsidR="00501995" w:rsidRPr="00EE3762">
        <w:rPr>
          <w:rFonts w:ascii="Helvetica" w:hAnsi="Helvetica" w:cs="Arial"/>
          <w:sz w:val="20"/>
          <w:lang w:val="lt-LT"/>
        </w:rPr>
        <w:t xml:space="preserve">us </w:t>
      </w:r>
      <w:r w:rsidRPr="00EE3762">
        <w:rPr>
          <w:rFonts w:ascii="Helvetica" w:hAnsi="Helvetica" w:cs="Arial"/>
          <w:sz w:val="20"/>
          <w:lang w:val="lt-LT"/>
        </w:rPr>
        <w:t xml:space="preserve">yra </w:t>
      </w:r>
      <w:r w:rsidR="00501995" w:rsidRPr="00EE3762">
        <w:rPr>
          <w:rFonts w:ascii="Helvetica" w:hAnsi="Helvetica" w:cs="Arial"/>
          <w:sz w:val="20"/>
          <w:lang w:val="lt-LT"/>
        </w:rPr>
        <w:t>įvedami</w:t>
      </w:r>
      <w:r w:rsidRPr="00EE3762">
        <w:rPr>
          <w:rFonts w:ascii="Helvetica" w:hAnsi="Helvetica" w:cs="Arial"/>
          <w:sz w:val="20"/>
          <w:lang w:val="lt-LT"/>
        </w:rPr>
        <w:t xml:space="preserve"> vienu metu arba nuosekliai</w:t>
      </w:r>
      <w:r w:rsidR="00501995" w:rsidRPr="00EE3762">
        <w:rPr>
          <w:rFonts w:ascii="Helvetica" w:hAnsi="Helvetica" w:cs="Arial"/>
          <w:sz w:val="20"/>
          <w:lang w:val="lt-LT"/>
        </w:rPr>
        <w:t xml:space="preserve"> laiko atžvilgiu</w:t>
      </w:r>
      <w:r w:rsidRPr="00EE3762">
        <w:rPr>
          <w:rFonts w:ascii="Helvetica" w:hAnsi="Helvetica" w:cs="Arial"/>
          <w:sz w:val="20"/>
          <w:lang w:val="lt-LT"/>
        </w:rPr>
        <w:t>.</w:t>
      </w:r>
    </w:p>
    <w:p w14:paraId="7C19A383" w14:textId="77777777" w:rsidR="004B5793" w:rsidRPr="00EE3762" w:rsidRDefault="004B5793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4F0186" w14:textId="47E7F9A4" w:rsidR="00621A68" w:rsidRPr="00EE3762" w:rsidRDefault="00621A68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>3.</w:t>
      </w:r>
      <w:r w:rsidR="004B5793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501995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kontrolinio taško inhibitorius, skirt</w:t>
      </w:r>
      <w:r w:rsidR="00501995" w:rsidRPr="00EE3762">
        <w:rPr>
          <w:rFonts w:ascii="Helvetica" w:hAnsi="Helvetica" w:cs="Arial"/>
          <w:sz w:val="20"/>
          <w:lang w:val="lt-LT"/>
        </w:rPr>
        <w:t>i</w:t>
      </w:r>
      <w:r w:rsidRPr="00EE3762">
        <w:rPr>
          <w:rFonts w:ascii="Helvetica" w:hAnsi="Helvetica" w:cs="Arial"/>
          <w:sz w:val="20"/>
          <w:lang w:val="lt-LT"/>
        </w:rPr>
        <w:t xml:space="preserve"> panaudoti pagal 1 punktą, kur kontrolinio taško inhibitorius </w:t>
      </w:r>
      <w:r w:rsidR="00501995" w:rsidRPr="00EE3762">
        <w:rPr>
          <w:rFonts w:ascii="Helvetica" w:hAnsi="Helvetica" w:cs="Arial"/>
          <w:sz w:val="20"/>
          <w:lang w:val="lt-LT"/>
        </w:rPr>
        <w:t xml:space="preserve">yra </w:t>
      </w:r>
      <w:r w:rsidRPr="00EE3762">
        <w:rPr>
          <w:rFonts w:ascii="Helvetica" w:hAnsi="Helvetica" w:cs="Arial"/>
          <w:sz w:val="20"/>
          <w:lang w:val="lt-LT"/>
        </w:rPr>
        <w:t>nukreiptas į PD-1, PD-L1 arba CTLA-4.</w:t>
      </w:r>
    </w:p>
    <w:p w14:paraId="364BB5F3" w14:textId="77777777" w:rsidR="004B5793" w:rsidRPr="00EE3762" w:rsidRDefault="004B5793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582CCE7" w14:textId="4EA4A2C1" w:rsidR="00621A68" w:rsidRPr="00EE3762" w:rsidRDefault="00621A68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>4.</w:t>
      </w:r>
      <w:r w:rsidR="004B5793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501995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kontrolinio taško inhibitorius, skirt</w:t>
      </w:r>
      <w:r w:rsidR="00874342" w:rsidRPr="00EE3762">
        <w:rPr>
          <w:rFonts w:ascii="Helvetica" w:hAnsi="Helvetica" w:cs="Arial"/>
          <w:sz w:val="20"/>
          <w:lang w:val="lt-LT"/>
        </w:rPr>
        <w:t>i</w:t>
      </w:r>
      <w:r w:rsidRPr="00EE3762">
        <w:rPr>
          <w:rFonts w:ascii="Helvetica" w:hAnsi="Helvetica" w:cs="Arial"/>
          <w:sz w:val="20"/>
          <w:lang w:val="lt-LT"/>
        </w:rPr>
        <w:t xml:space="preserve"> </w:t>
      </w:r>
      <w:r w:rsidR="00874342" w:rsidRPr="00EE3762">
        <w:rPr>
          <w:rFonts w:ascii="Helvetica" w:hAnsi="Helvetica" w:cs="Arial"/>
          <w:sz w:val="20"/>
          <w:lang w:val="lt-LT"/>
        </w:rPr>
        <w:t>pa</w:t>
      </w:r>
      <w:r w:rsidRPr="00EE3762">
        <w:rPr>
          <w:rFonts w:ascii="Helvetica" w:hAnsi="Helvetica" w:cs="Arial"/>
          <w:sz w:val="20"/>
          <w:lang w:val="lt-LT"/>
        </w:rPr>
        <w:t>naudoti pagal 1 punktą, kur kontrolinio taško inhibitorius yra pa</w:t>
      </w:r>
      <w:r w:rsidR="00874342" w:rsidRPr="00EE3762">
        <w:rPr>
          <w:rFonts w:ascii="Helvetica" w:hAnsi="Helvetica" w:cs="Arial"/>
          <w:sz w:val="20"/>
          <w:lang w:val="lt-LT"/>
        </w:rPr>
        <w:t>si</w:t>
      </w:r>
      <w:r w:rsidRPr="00EE3762">
        <w:rPr>
          <w:rFonts w:ascii="Helvetica" w:hAnsi="Helvetica" w:cs="Arial"/>
          <w:sz w:val="20"/>
          <w:lang w:val="lt-LT"/>
        </w:rPr>
        <w:t xml:space="preserve">rinktas iš grupės, susidedančios iš </w:t>
      </w:r>
      <w:proofErr w:type="spellStart"/>
      <w:r w:rsidRPr="00EE3762">
        <w:rPr>
          <w:rFonts w:ascii="Helvetica" w:hAnsi="Helvetica" w:cs="Arial"/>
          <w:sz w:val="20"/>
          <w:lang w:val="lt-LT"/>
        </w:rPr>
        <w:t>nivolumabo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pembrolizumabo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pidilizumabo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ipilimumabo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PDR001, MEDI0680,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atezolizumabas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durvalumabas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jų derini</w:t>
      </w:r>
      <w:r w:rsidR="00874342" w:rsidRPr="00EE3762">
        <w:rPr>
          <w:rFonts w:ascii="Helvetica" w:hAnsi="Helvetica" w:cs="Arial"/>
          <w:sz w:val="20"/>
          <w:lang w:val="lt-LT"/>
        </w:rPr>
        <w:t>ų</w:t>
      </w:r>
      <w:r w:rsidRPr="00EE3762">
        <w:rPr>
          <w:rFonts w:ascii="Helvetica" w:hAnsi="Helvetica" w:cs="Arial"/>
          <w:sz w:val="20"/>
          <w:lang w:val="lt-LT"/>
        </w:rPr>
        <w:t>.</w:t>
      </w:r>
    </w:p>
    <w:p w14:paraId="4F20572C" w14:textId="77777777" w:rsidR="004B5793" w:rsidRPr="00EE3762" w:rsidRDefault="004B5793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642F4B" w14:textId="614A8244" w:rsidR="00621A68" w:rsidRPr="00EE3762" w:rsidRDefault="00621A68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>5.</w:t>
      </w:r>
      <w:r w:rsidR="004B5793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874342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kontrolinio taško inhibitorius, skirt</w:t>
      </w:r>
      <w:r w:rsidR="00874342" w:rsidRPr="00EE3762">
        <w:rPr>
          <w:rFonts w:ascii="Helvetica" w:hAnsi="Helvetica" w:cs="Arial"/>
          <w:sz w:val="20"/>
          <w:lang w:val="lt-LT"/>
        </w:rPr>
        <w:t>i</w:t>
      </w:r>
      <w:r w:rsidRPr="00EE3762">
        <w:rPr>
          <w:rFonts w:ascii="Helvetica" w:hAnsi="Helvetica" w:cs="Arial"/>
          <w:sz w:val="20"/>
          <w:lang w:val="lt-LT"/>
        </w:rPr>
        <w:t xml:space="preserve"> panaudoti pagal 1 punktą, kur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874342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</w:t>
      </w:r>
      <w:r w:rsidR="00874342" w:rsidRPr="00EE3762">
        <w:rPr>
          <w:rFonts w:ascii="Helvetica" w:hAnsi="Helvetica" w:cs="Arial"/>
          <w:sz w:val="20"/>
          <w:lang w:val="lt-LT"/>
        </w:rPr>
        <w:t>k</w:t>
      </w:r>
      <w:r w:rsidRPr="00EE3762">
        <w:rPr>
          <w:rFonts w:ascii="Helvetica" w:hAnsi="Helvetica" w:cs="Arial"/>
          <w:sz w:val="20"/>
          <w:lang w:val="lt-LT"/>
        </w:rPr>
        <w:t>ontrolinio taško inhibitori</w:t>
      </w:r>
      <w:r w:rsidR="00874342" w:rsidRPr="00EE3762">
        <w:rPr>
          <w:rFonts w:ascii="Helvetica" w:hAnsi="Helvetica" w:cs="Arial"/>
          <w:sz w:val="20"/>
          <w:lang w:val="lt-LT"/>
        </w:rPr>
        <w:t>us</w:t>
      </w:r>
      <w:r w:rsidRPr="00EE3762">
        <w:rPr>
          <w:rFonts w:ascii="Helvetica" w:hAnsi="Helvetica" w:cs="Arial"/>
          <w:sz w:val="20"/>
          <w:lang w:val="lt-LT"/>
        </w:rPr>
        <w:t xml:space="preserve"> </w:t>
      </w:r>
      <w:r w:rsidR="00874342" w:rsidRPr="00EE3762">
        <w:rPr>
          <w:rFonts w:ascii="Helvetica" w:hAnsi="Helvetica" w:cs="Arial"/>
          <w:sz w:val="20"/>
          <w:lang w:val="lt-LT"/>
        </w:rPr>
        <w:t>yra įvedami derinyje</w:t>
      </w:r>
      <w:r w:rsidRPr="00EE3762">
        <w:rPr>
          <w:rFonts w:ascii="Helvetica" w:hAnsi="Helvetica" w:cs="Arial"/>
          <w:sz w:val="20"/>
          <w:lang w:val="lt-LT"/>
        </w:rPr>
        <w:t xml:space="preserve"> arba nuosekliai </w:t>
      </w:r>
      <w:r w:rsidR="00874342" w:rsidRPr="00EE3762">
        <w:rPr>
          <w:rFonts w:ascii="Helvetica" w:hAnsi="Helvetica" w:cs="Arial"/>
          <w:sz w:val="20"/>
          <w:lang w:val="lt-LT"/>
        </w:rPr>
        <w:t xml:space="preserve">kartu </w:t>
      </w:r>
      <w:r w:rsidRPr="00EE3762">
        <w:rPr>
          <w:rFonts w:ascii="Helvetica" w:hAnsi="Helvetica" w:cs="Arial"/>
          <w:sz w:val="20"/>
          <w:lang w:val="lt-LT"/>
        </w:rPr>
        <w:t>su kitais standartiniais priešvėžiniais gydymo būdais.</w:t>
      </w:r>
    </w:p>
    <w:p w14:paraId="21303B68" w14:textId="77777777" w:rsidR="004B5793" w:rsidRPr="00EE3762" w:rsidRDefault="004B5793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24AA70" w14:textId="6C4AC9FE" w:rsidR="00621A68" w:rsidRPr="00EE3762" w:rsidRDefault="00621A68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>6.</w:t>
      </w:r>
      <w:r w:rsidR="004B5793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874342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kontrolinio taško inhibitorius, skirti </w:t>
      </w:r>
      <w:r w:rsidR="00874342" w:rsidRPr="00EE3762">
        <w:rPr>
          <w:rFonts w:ascii="Helvetica" w:hAnsi="Helvetica" w:cs="Arial"/>
          <w:sz w:val="20"/>
          <w:lang w:val="lt-LT"/>
        </w:rPr>
        <w:t>pa</w:t>
      </w:r>
      <w:r w:rsidRPr="00EE3762">
        <w:rPr>
          <w:rFonts w:ascii="Helvetica" w:hAnsi="Helvetica" w:cs="Arial"/>
          <w:sz w:val="20"/>
          <w:lang w:val="lt-LT"/>
        </w:rPr>
        <w:t xml:space="preserve">naudoti pagal 1 punktą, kur kontrolinio taško inhibitorius yra anti-PD1 arba anti-PD-L1, </w:t>
      </w:r>
      <w:r w:rsidR="00874342" w:rsidRPr="00EE3762">
        <w:rPr>
          <w:rFonts w:ascii="Helvetica" w:hAnsi="Helvetica" w:cs="Arial"/>
          <w:sz w:val="20"/>
          <w:lang w:val="lt-LT"/>
        </w:rPr>
        <w:t>ir</w:t>
      </w:r>
      <w:r w:rsidRPr="00EE3762">
        <w:rPr>
          <w:rFonts w:ascii="Helvetica" w:hAnsi="Helvetica" w:cs="Arial"/>
          <w:sz w:val="20"/>
          <w:lang w:val="lt-LT"/>
        </w:rPr>
        <w:t xml:space="preserve"> gydomas vėžys yra </w:t>
      </w:r>
      <w:proofErr w:type="spellStart"/>
      <w:r w:rsidRPr="00EE3762">
        <w:rPr>
          <w:rFonts w:ascii="Helvetica" w:hAnsi="Helvetica" w:cs="Arial"/>
          <w:sz w:val="20"/>
          <w:lang w:val="lt-LT"/>
        </w:rPr>
        <w:t>glioblastoma</w:t>
      </w:r>
      <w:proofErr w:type="spellEnd"/>
      <w:r w:rsidRPr="00EE3762">
        <w:rPr>
          <w:rFonts w:ascii="Helvetica" w:hAnsi="Helvetica" w:cs="Arial"/>
          <w:sz w:val="20"/>
          <w:lang w:val="lt-LT"/>
        </w:rPr>
        <w:t>.</w:t>
      </w:r>
    </w:p>
    <w:p w14:paraId="0B6DE036" w14:textId="77777777" w:rsidR="004B5793" w:rsidRPr="00EE3762" w:rsidRDefault="004B5793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6D8679" w14:textId="1B8D67C8" w:rsidR="00621A68" w:rsidRPr="00EE3762" w:rsidRDefault="00621A68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>7.</w:t>
      </w:r>
      <w:r w:rsidR="004B5793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874342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kontrolinio taško inhibitorius, skirt</w:t>
      </w:r>
      <w:r w:rsidR="00874342" w:rsidRPr="00EE3762">
        <w:rPr>
          <w:rFonts w:ascii="Helvetica" w:hAnsi="Helvetica" w:cs="Arial"/>
          <w:sz w:val="20"/>
          <w:lang w:val="lt-LT"/>
        </w:rPr>
        <w:t>i</w:t>
      </w:r>
      <w:r w:rsidRPr="00EE3762">
        <w:rPr>
          <w:rFonts w:ascii="Helvetica" w:hAnsi="Helvetica" w:cs="Arial"/>
          <w:sz w:val="20"/>
          <w:lang w:val="lt-LT"/>
        </w:rPr>
        <w:t xml:space="preserve"> panaudoti pagal 1 punktą, kur kontrolinio taško inhibitorius yra anti-PD1 arba anti-PD-L1, </w:t>
      </w:r>
      <w:r w:rsidR="00874342" w:rsidRPr="00EE3762">
        <w:rPr>
          <w:rFonts w:ascii="Helvetica" w:hAnsi="Helvetica" w:cs="Arial"/>
          <w:sz w:val="20"/>
          <w:lang w:val="lt-LT"/>
        </w:rPr>
        <w:t>ir</w:t>
      </w:r>
      <w:r w:rsidRPr="00EE3762">
        <w:rPr>
          <w:rFonts w:ascii="Helvetica" w:hAnsi="Helvetica" w:cs="Arial"/>
          <w:sz w:val="20"/>
          <w:lang w:val="lt-LT"/>
        </w:rPr>
        <w:t xml:space="preserve"> gydomas vėžys yra melanoma.</w:t>
      </w:r>
    </w:p>
    <w:p w14:paraId="755BBD25" w14:textId="77777777" w:rsidR="004B5793" w:rsidRPr="00EE3762" w:rsidRDefault="004B5793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FC5F64" w14:textId="059BD2C2" w:rsidR="00621A68" w:rsidRPr="00EE3762" w:rsidRDefault="00621A68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lastRenderedPageBreak/>
        <w:t>8.</w:t>
      </w:r>
      <w:r w:rsidR="004B5793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A76D63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kontrolinio taško inhibitorius, skirt</w:t>
      </w:r>
      <w:r w:rsidR="00A76D63" w:rsidRPr="00EE3762">
        <w:rPr>
          <w:rFonts w:ascii="Helvetica" w:hAnsi="Helvetica" w:cs="Arial"/>
          <w:sz w:val="20"/>
          <w:lang w:val="lt-LT"/>
        </w:rPr>
        <w:t>i</w:t>
      </w:r>
      <w:r w:rsidRPr="00EE3762">
        <w:rPr>
          <w:rFonts w:ascii="Helvetica" w:hAnsi="Helvetica" w:cs="Arial"/>
          <w:sz w:val="20"/>
          <w:lang w:val="lt-LT"/>
        </w:rPr>
        <w:t xml:space="preserve"> </w:t>
      </w:r>
      <w:r w:rsidR="00A76D63" w:rsidRPr="00EE3762">
        <w:rPr>
          <w:rFonts w:ascii="Helvetica" w:hAnsi="Helvetica" w:cs="Arial"/>
          <w:sz w:val="20"/>
          <w:lang w:val="lt-LT"/>
        </w:rPr>
        <w:t>pa</w:t>
      </w:r>
      <w:r w:rsidRPr="00EE3762">
        <w:rPr>
          <w:rFonts w:ascii="Helvetica" w:hAnsi="Helvetica" w:cs="Arial"/>
          <w:sz w:val="20"/>
          <w:lang w:val="lt-LT"/>
        </w:rPr>
        <w:t xml:space="preserve">naudoti pagal 1 punktą, kur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A76D63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kontrolinis taškas. inhibitorius gali užtikrinti pelių išgyvenimo koeficientą</w:t>
      </w:r>
      <w:r w:rsidR="00A76D63" w:rsidRPr="00EE3762">
        <w:rPr>
          <w:rFonts w:ascii="Helvetica" w:hAnsi="Helvetica" w:cs="Arial"/>
          <w:sz w:val="20"/>
          <w:lang w:val="lt-LT"/>
        </w:rPr>
        <w:t>, lygų mažiausiai 2,0,</w:t>
      </w:r>
      <w:r w:rsidR="00EE3762" w:rsidRPr="00EE3762">
        <w:rPr>
          <w:rFonts w:ascii="Helvetica" w:hAnsi="Helvetica" w:cs="Arial"/>
          <w:sz w:val="20"/>
          <w:lang w:val="lt-LT"/>
        </w:rPr>
        <w:t xml:space="preserve"> </w:t>
      </w:r>
      <w:r w:rsidRPr="00EE3762">
        <w:rPr>
          <w:rFonts w:ascii="Helvetica" w:hAnsi="Helvetica" w:cs="Arial"/>
          <w:sz w:val="20"/>
          <w:lang w:val="lt-LT"/>
        </w:rPr>
        <w:t>60</w:t>
      </w:r>
      <w:r w:rsidR="00A76D63" w:rsidRPr="00EE3762">
        <w:rPr>
          <w:rFonts w:ascii="Helvetica" w:hAnsi="Helvetica" w:cs="Arial"/>
          <w:sz w:val="20"/>
          <w:lang w:val="lt-LT"/>
        </w:rPr>
        <w:t>-tą</w:t>
      </w:r>
      <w:r w:rsidRPr="00EE3762">
        <w:rPr>
          <w:rFonts w:ascii="Helvetica" w:hAnsi="Helvetica" w:cs="Arial"/>
          <w:sz w:val="20"/>
          <w:lang w:val="lt-LT"/>
        </w:rPr>
        <w:t xml:space="preserve"> dieną (MSR</w:t>
      </w:r>
      <w:r w:rsidRPr="00EE3762">
        <w:rPr>
          <w:rFonts w:ascii="Helvetica" w:hAnsi="Helvetica" w:cs="Arial"/>
          <w:sz w:val="20"/>
          <w:vertAlign w:val="subscript"/>
          <w:lang w:val="lt-LT"/>
        </w:rPr>
        <w:t>60</w:t>
      </w:r>
      <w:r w:rsidRPr="00EE3762">
        <w:rPr>
          <w:rFonts w:ascii="Helvetica" w:hAnsi="Helvetica" w:cs="Arial"/>
          <w:sz w:val="20"/>
          <w:lang w:val="lt-LT"/>
        </w:rPr>
        <w:t>).</w:t>
      </w:r>
    </w:p>
    <w:p w14:paraId="0C599425" w14:textId="77777777" w:rsidR="004B5793" w:rsidRPr="00EE3762" w:rsidRDefault="004B5793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44F6B9" w14:textId="147A4302" w:rsidR="004B5793" w:rsidRPr="00EE3762" w:rsidRDefault="00621A68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>9.</w:t>
      </w:r>
      <w:r w:rsidR="004B5793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A76D63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kontrolinio taško inhibitorius, skirt</w:t>
      </w:r>
      <w:r w:rsidR="00A76D63" w:rsidRPr="00EE3762">
        <w:rPr>
          <w:rFonts w:ascii="Helvetica" w:hAnsi="Helvetica" w:cs="Arial"/>
          <w:sz w:val="20"/>
          <w:lang w:val="lt-LT"/>
        </w:rPr>
        <w:t>i</w:t>
      </w:r>
      <w:r w:rsidRPr="00EE3762">
        <w:rPr>
          <w:rFonts w:ascii="Helvetica" w:hAnsi="Helvetica" w:cs="Arial"/>
          <w:sz w:val="20"/>
          <w:lang w:val="lt-LT"/>
        </w:rPr>
        <w:t xml:space="preserve"> panaudoti pagal 1 punktą, kur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riluzolo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yra; </w:t>
      </w:r>
    </w:p>
    <w:p w14:paraId="7E9D3DEB" w14:textId="77FF45F0" w:rsidR="004B5793" w:rsidRPr="00EE3762" w:rsidRDefault="00EE3762" w:rsidP="00EE376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pict w14:anchorId="247D9AD0">
          <v:shape id="_x0000_i1026" type="#_x0000_t75" style="width:247.15pt;height:63.65pt">
            <v:imagedata r:id="rId8" o:title=""/>
          </v:shape>
        </w:pict>
      </w:r>
    </w:p>
    <w:p w14:paraId="3937CC60" w14:textId="46F51603" w:rsidR="00621A68" w:rsidRPr="00EE3762" w:rsidRDefault="00621A68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 xml:space="preserve">arba jo hidratas,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farmaciniu požiūriu priimtina </w:t>
      </w:r>
      <w:r w:rsidR="00A76D63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>druska arba kompleksas.</w:t>
      </w:r>
    </w:p>
    <w:p w14:paraId="04E321FA" w14:textId="77777777" w:rsidR="004B5793" w:rsidRPr="00EE3762" w:rsidRDefault="004B5793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11CBF9" w14:textId="77777777" w:rsidR="004B5793" w:rsidRPr="00EE3762" w:rsidRDefault="00621A68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>10.</w:t>
      </w:r>
      <w:r w:rsidR="004B5793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Riluzolo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kontrolinio taško inhibitorius, skirti panaudoti pagal 9 punktą, kur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riluzolo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yra; </w:t>
      </w:r>
    </w:p>
    <w:p w14:paraId="2C1B9707" w14:textId="7A81EE35" w:rsidR="004B5793" w:rsidRPr="00EE3762" w:rsidRDefault="00EE3762" w:rsidP="00EE376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pict w14:anchorId="36797B6A">
          <v:shape id="_x0000_i1027" type="#_x0000_t75" style="width:248.5pt;height:64.65pt">
            <v:imagedata r:id="rId9" o:title=""/>
          </v:shape>
        </w:pict>
      </w:r>
    </w:p>
    <w:p w14:paraId="7ED0FF42" w14:textId="00B4052D" w:rsidR="00621A68" w:rsidRPr="00EE3762" w:rsidRDefault="00621A68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 xml:space="preserve">arba jo hidratas,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farmaciniu požiūriu priimtina </w:t>
      </w:r>
      <w:r w:rsidR="00A76D63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>druska arba kompleksas.</w:t>
      </w:r>
    </w:p>
    <w:p w14:paraId="71B53006" w14:textId="77777777" w:rsidR="004B5793" w:rsidRPr="00EE3762" w:rsidRDefault="004B5793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24D755" w14:textId="5C147202" w:rsidR="00621A68" w:rsidRPr="00EE3762" w:rsidRDefault="00621A68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>11.</w:t>
      </w:r>
      <w:r w:rsidR="004B5793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Riluzolo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kontrolinio taško inhibitorius, skirti panaudoti pagal 10 punktą, kur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riluzolo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yra; </w:t>
      </w:r>
    </w:p>
    <w:p w14:paraId="7B94B549" w14:textId="3689E37E" w:rsidR="004B5793" w:rsidRPr="00EE3762" w:rsidRDefault="00EE3762" w:rsidP="00EE376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pict w14:anchorId="6CBF17EA">
          <v:shape id="_x0000_i1028" type="#_x0000_t75" style="width:249.8pt;height:65.3pt">
            <v:imagedata r:id="rId10" o:title=""/>
          </v:shape>
        </w:pict>
      </w:r>
    </w:p>
    <w:p w14:paraId="5CC9B8C8" w14:textId="77777777" w:rsidR="004B5793" w:rsidRPr="00EE3762" w:rsidRDefault="004B5793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A3A8A4" w14:textId="04981F68" w:rsidR="00621A68" w:rsidRPr="00EE3762" w:rsidRDefault="00621A68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>12.</w:t>
      </w:r>
      <w:r w:rsidR="004B5793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 </w:t>
      </w:r>
      <w:r w:rsidR="00A76D63" w:rsidRPr="00EE3762">
        <w:rPr>
          <w:rFonts w:ascii="Helvetica" w:hAnsi="Helvetica" w:cs="Arial"/>
          <w:sz w:val="20"/>
          <w:lang w:val="lt-LT"/>
        </w:rPr>
        <w:t xml:space="preserve">jo </w:t>
      </w:r>
      <w:r w:rsidRPr="00EE3762">
        <w:rPr>
          <w:rFonts w:ascii="Helvetica" w:hAnsi="Helvetica" w:cs="Arial"/>
          <w:sz w:val="20"/>
          <w:lang w:val="lt-LT"/>
        </w:rPr>
        <w:t xml:space="preserve">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kontrolinio taško inhibitorius, skirt</w:t>
      </w:r>
      <w:r w:rsidR="00A76D63" w:rsidRPr="00EE3762">
        <w:rPr>
          <w:rFonts w:ascii="Helvetica" w:hAnsi="Helvetica" w:cs="Arial"/>
          <w:sz w:val="20"/>
          <w:lang w:val="lt-LT"/>
        </w:rPr>
        <w:t>i</w:t>
      </w:r>
      <w:r w:rsidRPr="00EE3762">
        <w:rPr>
          <w:rFonts w:ascii="Helvetica" w:hAnsi="Helvetica" w:cs="Arial"/>
          <w:sz w:val="20"/>
          <w:lang w:val="lt-LT"/>
        </w:rPr>
        <w:t xml:space="preserve"> panaudoti pagal bet kurį</w:t>
      </w:r>
      <w:r w:rsidR="00A76D63" w:rsidRPr="00EE3762">
        <w:rPr>
          <w:rFonts w:ascii="Helvetica" w:hAnsi="Helvetica" w:cs="Arial"/>
          <w:sz w:val="20"/>
          <w:lang w:val="lt-LT"/>
        </w:rPr>
        <w:t xml:space="preserve"> vieną</w:t>
      </w:r>
      <w:r w:rsidRPr="00EE3762">
        <w:rPr>
          <w:rFonts w:ascii="Helvetica" w:hAnsi="Helvetica" w:cs="Arial"/>
          <w:sz w:val="20"/>
          <w:lang w:val="lt-LT"/>
        </w:rPr>
        <w:t xml:space="preserve"> iš ankstesnių punktų, kur kontrolinio taško inhibitorius yra </w:t>
      </w:r>
      <w:proofErr w:type="spellStart"/>
      <w:r w:rsidRPr="00EE3762">
        <w:rPr>
          <w:rFonts w:ascii="Helvetica" w:hAnsi="Helvetica" w:cs="Arial"/>
          <w:sz w:val="20"/>
          <w:lang w:val="lt-LT"/>
        </w:rPr>
        <w:t>nivolumabas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pembrolizumabas</w:t>
      </w:r>
      <w:proofErr w:type="spellEnd"/>
      <w:r w:rsidRPr="00EE3762">
        <w:rPr>
          <w:rFonts w:ascii="Helvetica" w:hAnsi="Helvetica" w:cs="Arial"/>
          <w:sz w:val="20"/>
          <w:lang w:val="lt-LT"/>
        </w:rPr>
        <w:t>.</w:t>
      </w:r>
    </w:p>
    <w:p w14:paraId="083A5CAF" w14:textId="77777777" w:rsidR="004B5793" w:rsidRPr="00EE3762" w:rsidRDefault="004B5793" w:rsidP="00EE37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B1BE54" w14:textId="1175C658" w:rsidR="00A534B9" w:rsidRPr="00EE3762" w:rsidRDefault="00621A68" w:rsidP="00EE37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E3762">
        <w:rPr>
          <w:rFonts w:ascii="Helvetica" w:hAnsi="Helvetica" w:cs="Arial"/>
          <w:sz w:val="20"/>
          <w:lang w:val="lt-LT"/>
        </w:rPr>
        <w:t>13.</w:t>
      </w:r>
      <w:r w:rsidR="004B5793" w:rsidRPr="00EE37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E3762">
        <w:rPr>
          <w:rFonts w:ascii="Helvetica" w:hAnsi="Helvetica" w:cs="Arial"/>
          <w:sz w:val="20"/>
          <w:lang w:val="lt-LT"/>
        </w:rPr>
        <w:t>Riluzolas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farmaciniu požiūriu priimtina</w:t>
      </w:r>
      <w:r w:rsidR="00A76D63" w:rsidRPr="00EE3762">
        <w:rPr>
          <w:rFonts w:ascii="Helvetica" w:hAnsi="Helvetica" w:cs="Arial"/>
          <w:sz w:val="20"/>
          <w:lang w:val="lt-LT"/>
        </w:rPr>
        <w:t xml:space="preserve"> jo</w:t>
      </w:r>
      <w:r w:rsidRPr="00EE3762">
        <w:rPr>
          <w:rFonts w:ascii="Helvetica" w:hAnsi="Helvetica" w:cs="Arial"/>
          <w:sz w:val="20"/>
          <w:lang w:val="lt-LT"/>
        </w:rPr>
        <w:t xml:space="preserve"> druska, </w:t>
      </w:r>
      <w:proofErr w:type="spellStart"/>
      <w:r w:rsidRPr="00EE3762">
        <w:rPr>
          <w:rFonts w:ascii="Helvetica" w:hAnsi="Helvetica" w:cs="Arial"/>
          <w:sz w:val="20"/>
          <w:lang w:val="lt-LT"/>
        </w:rPr>
        <w:t>solvatas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anomeras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E3762">
        <w:rPr>
          <w:rFonts w:ascii="Helvetica" w:hAnsi="Helvetica" w:cs="Arial"/>
          <w:sz w:val="20"/>
          <w:lang w:val="lt-LT"/>
        </w:rPr>
        <w:t>enantiomeras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, hidratas arba </w:t>
      </w:r>
      <w:proofErr w:type="spellStart"/>
      <w:r w:rsidRPr="00EE3762">
        <w:rPr>
          <w:rFonts w:ascii="Helvetica" w:hAnsi="Helvetica" w:cs="Arial"/>
          <w:sz w:val="20"/>
          <w:lang w:val="lt-LT"/>
        </w:rPr>
        <w:t>provaistas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ir kontrolinio taško inhibitorius, skirt</w:t>
      </w:r>
      <w:r w:rsidR="00A76D63" w:rsidRPr="00EE3762">
        <w:rPr>
          <w:rFonts w:ascii="Helvetica" w:hAnsi="Helvetica" w:cs="Arial"/>
          <w:sz w:val="20"/>
          <w:lang w:val="lt-LT"/>
        </w:rPr>
        <w:t>i</w:t>
      </w:r>
      <w:r w:rsidRPr="00EE3762">
        <w:rPr>
          <w:rFonts w:ascii="Helvetica" w:hAnsi="Helvetica" w:cs="Arial"/>
          <w:sz w:val="20"/>
          <w:lang w:val="lt-LT"/>
        </w:rPr>
        <w:t xml:space="preserve"> panaudoti pagal bet kurį iš 1-5 ir 8-12 punktų, kur vėžys yra </w:t>
      </w:r>
      <w:proofErr w:type="spellStart"/>
      <w:r w:rsidRPr="00EE3762">
        <w:rPr>
          <w:rFonts w:ascii="Helvetica" w:hAnsi="Helvetica" w:cs="Arial"/>
          <w:sz w:val="20"/>
          <w:lang w:val="lt-LT"/>
        </w:rPr>
        <w:t>glioblastoma</w:t>
      </w:r>
      <w:proofErr w:type="spellEnd"/>
      <w:r w:rsidRPr="00EE3762">
        <w:rPr>
          <w:rFonts w:ascii="Helvetica" w:hAnsi="Helvetica" w:cs="Arial"/>
          <w:sz w:val="20"/>
          <w:lang w:val="lt-LT"/>
        </w:rPr>
        <w:t xml:space="preserve"> arba melanoma.</w:t>
      </w:r>
    </w:p>
    <w:sectPr w:rsidR="00A534B9" w:rsidRPr="00EE3762" w:rsidSect="00EE376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62C6" w14:textId="77777777" w:rsidR="0049738B" w:rsidRDefault="0049738B" w:rsidP="007B0A41">
      <w:pPr>
        <w:spacing w:after="0" w:line="240" w:lineRule="auto"/>
      </w:pPr>
      <w:r>
        <w:separator/>
      </w:r>
    </w:p>
  </w:endnote>
  <w:endnote w:type="continuationSeparator" w:id="0">
    <w:p w14:paraId="3C539943" w14:textId="77777777" w:rsidR="0049738B" w:rsidRDefault="0049738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81B4" w14:textId="77777777" w:rsidR="0049738B" w:rsidRDefault="0049738B" w:rsidP="007B0A41">
      <w:pPr>
        <w:spacing w:after="0" w:line="240" w:lineRule="auto"/>
      </w:pPr>
      <w:r>
        <w:separator/>
      </w:r>
    </w:p>
  </w:footnote>
  <w:footnote w:type="continuationSeparator" w:id="0">
    <w:p w14:paraId="78C5CF34" w14:textId="77777777" w:rsidR="0049738B" w:rsidRDefault="0049738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60D4E"/>
    <w:rsid w:val="002837FC"/>
    <w:rsid w:val="00316FB7"/>
    <w:rsid w:val="003700E9"/>
    <w:rsid w:val="003A0D71"/>
    <w:rsid w:val="003C409A"/>
    <w:rsid w:val="003D4001"/>
    <w:rsid w:val="003F0B51"/>
    <w:rsid w:val="00412B35"/>
    <w:rsid w:val="00416928"/>
    <w:rsid w:val="00431822"/>
    <w:rsid w:val="0049738B"/>
    <w:rsid w:val="004A11D8"/>
    <w:rsid w:val="004B5793"/>
    <w:rsid w:val="004C1469"/>
    <w:rsid w:val="00501995"/>
    <w:rsid w:val="0053198F"/>
    <w:rsid w:val="005324BA"/>
    <w:rsid w:val="00560B7D"/>
    <w:rsid w:val="00564911"/>
    <w:rsid w:val="0059478E"/>
    <w:rsid w:val="005D37DF"/>
    <w:rsid w:val="006049CC"/>
    <w:rsid w:val="00617E21"/>
    <w:rsid w:val="00621A68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07CDD"/>
    <w:rsid w:val="0071125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7B1E"/>
    <w:rsid w:val="00864E7D"/>
    <w:rsid w:val="00874342"/>
    <w:rsid w:val="00886FF4"/>
    <w:rsid w:val="008A7B6E"/>
    <w:rsid w:val="008B41AC"/>
    <w:rsid w:val="008C0F27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76D63"/>
    <w:rsid w:val="00A81A1A"/>
    <w:rsid w:val="00AA3A1F"/>
    <w:rsid w:val="00AD4691"/>
    <w:rsid w:val="00AE51EA"/>
    <w:rsid w:val="00B226B6"/>
    <w:rsid w:val="00B6516C"/>
    <w:rsid w:val="00B70727"/>
    <w:rsid w:val="00B81287"/>
    <w:rsid w:val="00B86C5A"/>
    <w:rsid w:val="00BD2789"/>
    <w:rsid w:val="00C1001A"/>
    <w:rsid w:val="00C30968"/>
    <w:rsid w:val="00C72847"/>
    <w:rsid w:val="00C86DA9"/>
    <w:rsid w:val="00C91715"/>
    <w:rsid w:val="00CE42D1"/>
    <w:rsid w:val="00CF70D6"/>
    <w:rsid w:val="00D15412"/>
    <w:rsid w:val="00D30F69"/>
    <w:rsid w:val="00D54A23"/>
    <w:rsid w:val="00D55A30"/>
    <w:rsid w:val="00D56D60"/>
    <w:rsid w:val="00DB375D"/>
    <w:rsid w:val="00E1104B"/>
    <w:rsid w:val="00E1543E"/>
    <w:rsid w:val="00E2583B"/>
    <w:rsid w:val="00E321B7"/>
    <w:rsid w:val="00EE3762"/>
    <w:rsid w:val="00F01CE8"/>
    <w:rsid w:val="00F144D7"/>
    <w:rsid w:val="00F37F4D"/>
    <w:rsid w:val="00F5330D"/>
    <w:rsid w:val="00F577D6"/>
    <w:rsid w:val="00F66B57"/>
    <w:rsid w:val="00F87A00"/>
    <w:rsid w:val="00FA380A"/>
    <w:rsid w:val="00FB2032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6EA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B8397-B9A5-4F72-BE82-3F9306B7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3841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2022-01-24T18:35:00Z</dcterms:created>
  <dcterms:modified xsi:type="dcterms:W3CDTF">2022-02-09T14:50:00Z</dcterms:modified>
</cp:coreProperties>
</file>