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skirtas stabiliai atropodikalinei kompozicijai, kurioje kaip aktyvi komponentė yra mišinys izomerų cipermetrino, kurio sandara išreiškiama formule@@@@@@@@@@@- čia 1-, 3- ir a- anglies atomai yra chiraliniai anglies atomai, o banguota linija parodo cis- arba trans- erdvinę konfigūraciją ciklopropano žiedo atžvilgiu, turinti mažiausiai 95 svorio % izomerų mišinio, susidedančio iš enantiomerų porų 1R cis S ir 1S cis R (1a) ir 1R trans S ir 1S trans R (1b) svoriniu santykiu 1a:1b=55: 45-25: 75 arba izomerų poros 1a ir 1b, turinti kaip stabilizatorių 0,001-0,1 svorio %, paskaičiuotų nuo aktyvios komponentės kiekio, rūgšties arba rūgščių mišinio, geriausiai nelakių karboksirūgščių, kurių pK1 = 1-5, pavyzdžiui, ftalio rūgštis, gintaro rūgštis, vyno rūgštis, maleino rūgštis, fumaro rūgštis, malono rūgštis arba šių rūgščių dariniai su vienu ar keliais pakaitais grandinėje, pavyzdžiui, alkilinimo dariniai ir/arba oksalo rūgšties.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