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kalbama apie skystą kompoziciją konservavimui, tinkamą žaliųjų pašarų ar panašių medžiagų konservavimui, kurio sudėtyje aktyviuoju komponentu yra benzoinė rūgštis arba jos darinys. benzoinė rūgštis arba jos darinys ypatingai skatina naudingą mikrobų veiklą žaliuosiuose pašaruose. Pagal šį išradimą jų poveikį galima sustiprinti, tuo tikslu į kompoziciją įdedant juos ištirpinančios propano rūgšties arba jos mišinio kartu su skruzdžių rūgštimi ir/arba acto rūgštimi. Šios rūgštys taip pat skatina minėtą naudingą mikrobų veiklą. Į šią kompoziciją taip pat gali būti dedama kitų tirpumą padidinančių komponentų bei pieno rūgšties fermentaciją skatinančių paprastai tuo tikslu vartojamų medžiagų.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