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E1314" w14:textId="44990BD5" w:rsidR="006A451C" w:rsidRPr="006A451C" w:rsidRDefault="006A451C" w:rsidP="006A451C">
      <w:pPr>
        <w:pStyle w:val="prastasiniatinklio"/>
        <w:spacing w:before="0" w:beforeAutospacing="0" w:after="0" w:afterAutospacing="0" w:line="360" w:lineRule="auto"/>
        <w:ind w:firstLine="567"/>
        <w:jc w:val="both"/>
        <w:rPr>
          <w:rFonts w:ascii="Helvetica" w:hAnsi="Helvetica"/>
          <w:color w:val="000000"/>
          <w:sz w:val="20"/>
          <w:szCs w:val="27"/>
          <w:lang w:val="lt-LT"/>
        </w:rPr>
      </w:pPr>
      <w:r w:rsidRPr="006A451C">
        <w:rPr>
          <w:rFonts w:ascii="Helvetica" w:hAnsi="Helvetica"/>
          <w:color w:val="000000"/>
          <w:sz w:val="20"/>
          <w:szCs w:val="27"/>
          <w:lang w:val="lt-LT"/>
        </w:rPr>
        <w:t xml:space="preserve">1. </w:t>
      </w:r>
      <w:proofErr w:type="spellStart"/>
      <w:r w:rsidRPr="006A451C">
        <w:rPr>
          <w:rFonts w:ascii="Helvetica" w:hAnsi="Helvetica"/>
          <w:color w:val="000000"/>
          <w:sz w:val="20"/>
          <w:szCs w:val="27"/>
          <w:lang w:val="lt-LT"/>
        </w:rPr>
        <w:t>Antisklerostino</w:t>
      </w:r>
      <w:proofErr w:type="spellEnd"/>
      <w:r w:rsidRPr="006A451C">
        <w:rPr>
          <w:rFonts w:ascii="Helvetica" w:hAnsi="Helvetica"/>
          <w:color w:val="000000"/>
          <w:sz w:val="20"/>
          <w:szCs w:val="27"/>
          <w:lang w:val="lt-LT"/>
        </w:rPr>
        <w:t xml:space="preserve"> antikūnas, skirtas naudoti gydant </w:t>
      </w:r>
      <w:proofErr w:type="spellStart"/>
      <w:r w:rsidRPr="006A451C">
        <w:rPr>
          <w:rFonts w:ascii="Helvetica" w:hAnsi="Helvetica"/>
          <w:color w:val="000000"/>
          <w:sz w:val="20"/>
          <w:szCs w:val="27"/>
          <w:lang w:val="lt-LT"/>
        </w:rPr>
        <w:t>osteogenesis</w:t>
      </w:r>
      <w:proofErr w:type="spellEnd"/>
      <w:r w:rsidRPr="006A451C">
        <w:rPr>
          <w:rFonts w:ascii="Helvetica" w:hAnsi="Helvetica"/>
          <w:color w:val="000000"/>
          <w:sz w:val="20"/>
          <w:szCs w:val="27"/>
          <w:lang w:val="lt-LT"/>
        </w:rPr>
        <w:t xml:space="preserve"> </w:t>
      </w:r>
      <w:proofErr w:type="spellStart"/>
      <w:r w:rsidRPr="006A451C">
        <w:rPr>
          <w:rFonts w:ascii="Helvetica" w:hAnsi="Helvetica"/>
          <w:color w:val="000000"/>
          <w:sz w:val="20"/>
          <w:szCs w:val="27"/>
          <w:lang w:val="lt-LT"/>
        </w:rPr>
        <w:t>imperfecta</w:t>
      </w:r>
      <w:proofErr w:type="spellEnd"/>
      <w:r w:rsidRPr="006A451C">
        <w:rPr>
          <w:rFonts w:ascii="Helvetica" w:hAnsi="Helvetica"/>
          <w:color w:val="000000"/>
          <w:sz w:val="20"/>
          <w:szCs w:val="27"/>
          <w:lang w:val="lt-LT"/>
        </w:rPr>
        <w:t xml:space="preserve"> (OI) pacientui žmogui, apimantis </w:t>
      </w:r>
      <w:proofErr w:type="spellStart"/>
      <w:r w:rsidRPr="006A451C">
        <w:rPr>
          <w:rFonts w:ascii="Helvetica" w:hAnsi="Helvetica"/>
          <w:color w:val="000000"/>
          <w:sz w:val="20"/>
          <w:szCs w:val="27"/>
          <w:lang w:val="lt-LT"/>
        </w:rPr>
        <w:t>terapiškai</w:t>
      </w:r>
      <w:proofErr w:type="spellEnd"/>
      <w:r w:rsidRPr="006A451C">
        <w:rPr>
          <w:rFonts w:ascii="Helvetica" w:hAnsi="Helvetica"/>
          <w:color w:val="000000"/>
          <w:sz w:val="20"/>
          <w:szCs w:val="27"/>
          <w:lang w:val="lt-LT"/>
        </w:rPr>
        <w:t xml:space="preserve"> veiksmingo </w:t>
      </w:r>
      <w:proofErr w:type="spellStart"/>
      <w:r w:rsidRPr="006A451C">
        <w:rPr>
          <w:rFonts w:ascii="Helvetica" w:hAnsi="Helvetica"/>
          <w:color w:val="000000"/>
          <w:sz w:val="20"/>
          <w:szCs w:val="27"/>
          <w:lang w:val="lt-LT"/>
        </w:rPr>
        <w:t>antisklerostino</w:t>
      </w:r>
      <w:proofErr w:type="spellEnd"/>
      <w:r w:rsidRPr="006A451C">
        <w:rPr>
          <w:rFonts w:ascii="Helvetica" w:hAnsi="Helvetica"/>
          <w:color w:val="000000"/>
          <w:sz w:val="20"/>
          <w:szCs w:val="27"/>
          <w:lang w:val="lt-LT"/>
        </w:rPr>
        <w:t xml:space="preserve"> antikūno kiekio skyrimą pacientui žmogui, kur:</w:t>
      </w:r>
    </w:p>
    <w:p w14:paraId="05AEBF82" w14:textId="77777777" w:rsidR="006A451C" w:rsidRPr="006A451C" w:rsidRDefault="006A451C" w:rsidP="006A451C">
      <w:pPr>
        <w:pStyle w:val="prastasiniatinklio"/>
        <w:spacing w:before="0" w:beforeAutospacing="0" w:after="0" w:afterAutospacing="0" w:line="360" w:lineRule="auto"/>
        <w:jc w:val="both"/>
        <w:rPr>
          <w:rFonts w:ascii="Helvetica" w:hAnsi="Helvetica"/>
          <w:color w:val="000000"/>
          <w:sz w:val="20"/>
          <w:szCs w:val="27"/>
          <w:lang w:val="lt-LT"/>
        </w:rPr>
      </w:pPr>
      <w:r w:rsidRPr="006A451C">
        <w:rPr>
          <w:rFonts w:ascii="Helvetica" w:hAnsi="Helvetica"/>
          <w:color w:val="000000"/>
          <w:sz w:val="20"/>
          <w:szCs w:val="27"/>
          <w:lang w:val="lt-LT"/>
        </w:rPr>
        <w:t xml:space="preserve">(i) </w:t>
      </w:r>
      <w:proofErr w:type="spellStart"/>
      <w:r w:rsidRPr="006A451C">
        <w:rPr>
          <w:rFonts w:ascii="Helvetica" w:hAnsi="Helvetica"/>
          <w:color w:val="000000"/>
          <w:sz w:val="20"/>
          <w:szCs w:val="27"/>
          <w:lang w:val="lt-LT"/>
        </w:rPr>
        <w:t>terapiškai</w:t>
      </w:r>
      <w:proofErr w:type="spellEnd"/>
      <w:r w:rsidRPr="006A451C">
        <w:rPr>
          <w:rFonts w:ascii="Helvetica" w:hAnsi="Helvetica"/>
          <w:color w:val="000000"/>
          <w:sz w:val="20"/>
          <w:szCs w:val="27"/>
          <w:lang w:val="lt-LT"/>
        </w:rPr>
        <w:t xml:space="preserve"> veiksmingas </w:t>
      </w:r>
      <w:proofErr w:type="spellStart"/>
      <w:r w:rsidRPr="006A451C">
        <w:rPr>
          <w:rFonts w:ascii="Helvetica" w:hAnsi="Helvetica"/>
          <w:color w:val="000000"/>
          <w:sz w:val="20"/>
          <w:szCs w:val="27"/>
          <w:lang w:val="lt-LT"/>
        </w:rPr>
        <w:t>antisklerostino</w:t>
      </w:r>
      <w:proofErr w:type="spellEnd"/>
      <w:r w:rsidRPr="006A451C">
        <w:rPr>
          <w:rFonts w:ascii="Helvetica" w:hAnsi="Helvetica"/>
          <w:color w:val="000000"/>
          <w:sz w:val="20"/>
          <w:szCs w:val="27"/>
          <w:lang w:val="lt-LT"/>
        </w:rPr>
        <w:t xml:space="preserve"> antikūno kiekis yra 20 mg 1 kg paciento žmogaus kūno svorio, skiriant vartoti kas mėnesį;</w:t>
      </w:r>
    </w:p>
    <w:p w14:paraId="1BF59E84" w14:textId="77777777" w:rsidR="006A451C" w:rsidRPr="006A451C" w:rsidRDefault="006A451C" w:rsidP="006A451C">
      <w:pPr>
        <w:pStyle w:val="prastasiniatinklio"/>
        <w:spacing w:before="0" w:beforeAutospacing="0" w:after="0" w:afterAutospacing="0" w:line="360" w:lineRule="auto"/>
        <w:jc w:val="both"/>
        <w:rPr>
          <w:rFonts w:ascii="Helvetica" w:hAnsi="Helvetica"/>
          <w:color w:val="000000"/>
          <w:sz w:val="20"/>
          <w:szCs w:val="27"/>
          <w:lang w:val="lt-LT"/>
        </w:rPr>
      </w:pPr>
      <w:r w:rsidRPr="006A451C">
        <w:rPr>
          <w:rFonts w:ascii="Helvetica" w:hAnsi="Helvetica"/>
          <w:color w:val="000000"/>
          <w:sz w:val="20"/>
          <w:szCs w:val="27"/>
          <w:lang w:val="lt-LT"/>
        </w:rPr>
        <w:t xml:space="preserve">(ii) </w:t>
      </w:r>
      <w:proofErr w:type="spellStart"/>
      <w:r w:rsidRPr="006A451C">
        <w:rPr>
          <w:rFonts w:ascii="Helvetica" w:hAnsi="Helvetica"/>
          <w:color w:val="000000"/>
          <w:sz w:val="20"/>
          <w:szCs w:val="27"/>
          <w:lang w:val="lt-LT"/>
        </w:rPr>
        <w:t>antisklerostino</w:t>
      </w:r>
      <w:proofErr w:type="spellEnd"/>
      <w:r w:rsidRPr="006A451C">
        <w:rPr>
          <w:rFonts w:ascii="Helvetica" w:hAnsi="Helvetica"/>
          <w:color w:val="000000"/>
          <w:sz w:val="20"/>
          <w:szCs w:val="27"/>
          <w:lang w:val="lt-LT"/>
        </w:rPr>
        <w:t xml:space="preserve"> antikūnas apima:</w:t>
      </w:r>
    </w:p>
    <w:p w14:paraId="38CF01F3" w14:textId="77777777" w:rsidR="006A451C" w:rsidRPr="006A451C" w:rsidRDefault="006A451C" w:rsidP="006A451C">
      <w:pPr>
        <w:pStyle w:val="prastasiniatinklio"/>
        <w:spacing w:before="0" w:beforeAutospacing="0" w:after="0" w:afterAutospacing="0" w:line="360" w:lineRule="auto"/>
        <w:jc w:val="both"/>
        <w:rPr>
          <w:rFonts w:ascii="Helvetica" w:hAnsi="Helvetica"/>
          <w:color w:val="000000"/>
          <w:sz w:val="20"/>
          <w:szCs w:val="27"/>
          <w:lang w:val="lt-LT"/>
        </w:rPr>
      </w:pPr>
      <w:r w:rsidRPr="006A451C">
        <w:rPr>
          <w:rFonts w:ascii="Helvetica" w:hAnsi="Helvetica"/>
          <w:color w:val="000000"/>
          <w:sz w:val="20"/>
          <w:szCs w:val="27"/>
          <w:lang w:val="lt-LT"/>
        </w:rPr>
        <w:t>(a) sunkiosios grandinės kintamos srities CDR1, apimančios aminorūgščių seką, nurodytą kaip SEQ ID Nr. 4;</w:t>
      </w:r>
    </w:p>
    <w:p w14:paraId="788A9281" w14:textId="77777777" w:rsidR="006A451C" w:rsidRPr="006A451C" w:rsidRDefault="006A451C" w:rsidP="006A451C">
      <w:pPr>
        <w:pStyle w:val="prastasiniatinklio"/>
        <w:spacing w:before="0" w:beforeAutospacing="0" w:after="0" w:afterAutospacing="0" w:line="360" w:lineRule="auto"/>
        <w:jc w:val="both"/>
        <w:rPr>
          <w:rFonts w:ascii="Helvetica" w:hAnsi="Helvetica"/>
          <w:color w:val="000000"/>
          <w:sz w:val="20"/>
          <w:szCs w:val="27"/>
          <w:lang w:val="lt-LT"/>
        </w:rPr>
      </w:pPr>
      <w:r w:rsidRPr="006A451C">
        <w:rPr>
          <w:rFonts w:ascii="Helvetica" w:hAnsi="Helvetica"/>
          <w:color w:val="000000"/>
          <w:sz w:val="20"/>
          <w:szCs w:val="27"/>
          <w:lang w:val="lt-LT"/>
        </w:rPr>
        <w:t>(b) sunkiosios grandinės kintamos srities CDR2, apimančios aminorūgščių seką, nurodytą kaip SEQ ID Nr. 15;</w:t>
      </w:r>
    </w:p>
    <w:p w14:paraId="772346C9" w14:textId="77777777" w:rsidR="006A451C" w:rsidRPr="006A451C" w:rsidRDefault="006A451C" w:rsidP="006A451C">
      <w:pPr>
        <w:pStyle w:val="prastasiniatinklio"/>
        <w:spacing w:before="0" w:beforeAutospacing="0" w:after="0" w:afterAutospacing="0" w:line="360" w:lineRule="auto"/>
        <w:jc w:val="both"/>
        <w:rPr>
          <w:rFonts w:ascii="Helvetica" w:hAnsi="Helvetica"/>
          <w:color w:val="000000"/>
          <w:sz w:val="20"/>
          <w:szCs w:val="27"/>
          <w:lang w:val="lt-LT"/>
        </w:rPr>
      </w:pPr>
      <w:r w:rsidRPr="006A451C">
        <w:rPr>
          <w:rFonts w:ascii="Helvetica" w:hAnsi="Helvetica"/>
          <w:color w:val="000000"/>
          <w:sz w:val="20"/>
          <w:szCs w:val="27"/>
          <w:lang w:val="lt-LT"/>
        </w:rPr>
        <w:t>(c) sunkiosios grandinės kintamos srities CDR3, apimančios aminorūgščių seką, nurodytą kaip SEQ ID Nr. 26;</w:t>
      </w:r>
    </w:p>
    <w:p w14:paraId="1F5F8AD4" w14:textId="77777777" w:rsidR="006A451C" w:rsidRPr="006A451C" w:rsidRDefault="006A451C" w:rsidP="006A451C">
      <w:pPr>
        <w:pStyle w:val="prastasiniatinklio"/>
        <w:spacing w:before="0" w:beforeAutospacing="0" w:after="0" w:afterAutospacing="0" w:line="360" w:lineRule="auto"/>
        <w:jc w:val="both"/>
        <w:rPr>
          <w:rFonts w:ascii="Helvetica" w:hAnsi="Helvetica"/>
          <w:color w:val="000000"/>
          <w:sz w:val="20"/>
          <w:szCs w:val="27"/>
          <w:lang w:val="lt-LT"/>
        </w:rPr>
      </w:pPr>
      <w:r w:rsidRPr="006A451C">
        <w:rPr>
          <w:rFonts w:ascii="Helvetica" w:hAnsi="Helvetica"/>
          <w:color w:val="000000"/>
          <w:sz w:val="20"/>
          <w:szCs w:val="27"/>
          <w:lang w:val="lt-LT"/>
        </w:rPr>
        <w:t>(d) lengvosios grandinės kintamos srities CDR1, apimančios aminorūgščių seką, nurodytą kaip SEQ ID Nr. 37;</w:t>
      </w:r>
    </w:p>
    <w:p w14:paraId="2F5D9998" w14:textId="77777777" w:rsidR="006A451C" w:rsidRPr="006A451C" w:rsidRDefault="006A451C" w:rsidP="006A451C">
      <w:pPr>
        <w:pStyle w:val="prastasiniatinklio"/>
        <w:spacing w:before="0" w:beforeAutospacing="0" w:after="0" w:afterAutospacing="0" w:line="360" w:lineRule="auto"/>
        <w:jc w:val="both"/>
        <w:rPr>
          <w:rFonts w:ascii="Helvetica" w:hAnsi="Helvetica"/>
          <w:color w:val="000000"/>
          <w:sz w:val="20"/>
          <w:szCs w:val="27"/>
          <w:lang w:val="lt-LT"/>
        </w:rPr>
      </w:pPr>
      <w:r w:rsidRPr="006A451C">
        <w:rPr>
          <w:rFonts w:ascii="Helvetica" w:hAnsi="Helvetica"/>
          <w:color w:val="000000"/>
          <w:sz w:val="20"/>
          <w:szCs w:val="27"/>
          <w:lang w:val="lt-LT"/>
        </w:rPr>
        <w:t>(e) lengvosios grandinės kintamos srities CDR2, apimančios aminorūgščių seką, nurodytą kaip SEQ ID Nr. 48; ir</w:t>
      </w:r>
    </w:p>
    <w:p w14:paraId="34DA2700" w14:textId="77777777" w:rsidR="006A451C" w:rsidRPr="006A451C" w:rsidRDefault="006A451C" w:rsidP="006A451C">
      <w:pPr>
        <w:pStyle w:val="prastasiniatinklio"/>
        <w:spacing w:before="0" w:beforeAutospacing="0" w:after="0" w:afterAutospacing="0" w:line="360" w:lineRule="auto"/>
        <w:jc w:val="both"/>
        <w:rPr>
          <w:rFonts w:ascii="Helvetica" w:hAnsi="Helvetica"/>
          <w:color w:val="000000"/>
          <w:sz w:val="20"/>
          <w:szCs w:val="27"/>
          <w:lang w:val="lt-LT"/>
        </w:rPr>
      </w:pPr>
      <w:r w:rsidRPr="006A451C">
        <w:rPr>
          <w:rFonts w:ascii="Helvetica" w:hAnsi="Helvetica"/>
          <w:color w:val="000000"/>
          <w:sz w:val="20"/>
          <w:szCs w:val="27"/>
          <w:lang w:val="lt-LT"/>
        </w:rPr>
        <w:t>(f) lengvosios grandinės kintamos srities CDR3, apimančios aminorūgščių seką, nurodytą kaip SEQ ID Nr. 59.</w:t>
      </w:r>
    </w:p>
    <w:p w14:paraId="12A03ECE" w14:textId="77777777" w:rsidR="006A451C" w:rsidRPr="006A451C" w:rsidRDefault="006A451C" w:rsidP="006A451C">
      <w:pPr>
        <w:pStyle w:val="prastasiniatinklio"/>
        <w:spacing w:before="0" w:beforeAutospacing="0" w:after="0" w:afterAutospacing="0" w:line="360" w:lineRule="auto"/>
        <w:jc w:val="both"/>
        <w:rPr>
          <w:rFonts w:ascii="Helvetica" w:hAnsi="Helvetica"/>
          <w:color w:val="000000"/>
          <w:sz w:val="20"/>
          <w:szCs w:val="27"/>
          <w:lang w:val="lt-LT"/>
        </w:rPr>
      </w:pPr>
    </w:p>
    <w:p w14:paraId="3016E91E" w14:textId="77777777" w:rsidR="006A451C" w:rsidRPr="006A451C" w:rsidRDefault="006A451C" w:rsidP="006A451C">
      <w:pPr>
        <w:pStyle w:val="prastasiniatinklio"/>
        <w:spacing w:before="0" w:beforeAutospacing="0" w:after="0" w:afterAutospacing="0" w:line="360" w:lineRule="auto"/>
        <w:ind w:firstLine="567"/>
        <w:jc w:val="both"/>
        <w:rPr>
          <w:rFonts w:ascii="Helvetica" w:hAnsi="Helvetica"/>
          <w:color w:val="000000"/>
          <w:sz w:val="20"/>
          <w:szCs w:val="27"/>
          <w:lang w:val="lt-LT"/>
        </w:rPr>
      </w:pPr>
      <w:r w:rsidRPr="006A451C">
        <w:rPr>
          <w:rFonts w:ascii="Helvetica" w:hAnsi="Helvetica"/>
          <w:color w:val="000000"/>
          <w:sz w:val="20"/>
          <w:szCs w:val="27"/>
          <w:lang w:val="lt-LT"/>
        </w:rPr>
        <w:t xml:space="preserve">2. </w:t>
      </w:r>
      <w:proofErr w:type="spellStart"/>
      <w:r w:rsidRPr="006A451C">
        <w:rPr>
          <w:rFonts w:ascii="Helvetica" w:hAnsi="Helvetica"/>
          <w:color w:val="000000"/>
          <w:sz w:val="20"/>
          <w:szCs w:val="27"/>
          <w:lang w:val="lt-LT"/>
        </w:rPr>
        <w:t>Antisklerostino</w:t>
      </w:r>
      <w:proofErr w:type="spellEnd"/>
      <w:r w:rsidRPr="006A451C">
        <w:rPr>
          <w:rFonts w:ascii="Helvetica" w:hAnsi="Helvetica"/>
          <w:color w:val="000000"/>
          <w:sz w:val="20"/>
          <w:szCs w:val="27"/>
          <w:lang w:val="lt-LT"/>
        </w:rPr>
        <w:t xml:space="preserve"> antikūnas, skirtas naudoti pagal 1 punktą, kur OI yra I tipo OI, III tipo OI arba IV tipo OI.</w:t>
      </w:r>
    </w:p>
    <w:p w14:paraId="248DDFF0" w14:textId="77777777" w:rsidR="006A451C" w:rsidRPr="006A451C" w:rsidRDefault="006A451C" w:rsidP="006A451C">
      <w:pPr>
        <w:pStyle w:val="prastasiniatinklio"/>
        <w:spacing w:before="0" w:beforeAutospacing="0" w:after="0" w:afterAutospacing="0" w:line="360" w:lineRule="auto"/>
        <w:ind w:firstLine="567"/>
        <w:jc w:val="both"/>
        <w:rPr>
          <w:rFonts w:ascii="Helvetica" w:hAnsi="Helvetica"/>
          <w:color w:val="000000"/>
          <w:sz w:val="20"/>
          <w:szCs w:val="27"/>
          <w:lang w:val="lt-LT"/>
        </w:rPr>
      </w:pPr>
    </w:p>
    <w:p w14:paraId="79F9EDA0" w14:textId="77777777" w:rsidR="006A451C" w:rsidRPr="006A451C" w:rsidRDefault="006A451C" w:rsidP="006A451C">
      <w:pPr>
        <w:pStyle w:val="prastasiniatinklio"/>
        <w:spacing w:before="0" w:beforeAutospacing="0" w:after="0" w:afterAutospacing="0" w:line="360" w:lineRule="auto"/>
        <w:ind w:firstLine="567"/>
        <w:jc w:val="both"/>
        <w:rPr>
          <w:rFonts w:ascii="Helvetica" w:hAnsi="Helvetica"/>
          <w:color w:val="000000"/>
          <w:sz w:val="20"/>
          <w:szCs w:val="27"/>
          <w:lang w:val="lt-LT"/>
        </w:rPr>
      </w:pPr>
      <w:r w:rsidRPr="006A451C">
        <w:rPr>
          <w:rFonts w:ascii="Helvetica" w:hAnsi="Helvetica"/>
          <w:color w:val="000000"/>
          <w:sz w:val="20"/>
          <w:szCs w:val="27"/>
          <w:lang w:val="lt-LT"/>
        </w:rPr>
        <w:t xml:space="preserve">3. </w:t>
      </w:r>
      <w:proofErr w:type="spellStart"/>
      <w:r w:rsidRPr="006A451C">
        <w:rPr>
          <w:rFonts w:ascii="Helvetica" w:hAnsi="Helvetica"/>
          <w:color w:val="000000"/>
          <w:sz w:val="20"/>
          <w:szCs w:val="27"/>
          <w:lang w:val="lt-LT"/>
        </w:rPr>
        <w:t>Antisklerostino</w:t>
      </w:r>
      <w:proofErr w:type="spellEnd"/>
      <w:r w:rsidRPr="006A451C">
        <w:rPr>
          <w:rFonts w:ascii="Helvetica" w:hAnsi="Helvetica"/>
          <w:color w:val="000000"/>
          <w:sz w:val="20"/>
          <w:szCs w:val="27"/>
          <w:lang w:val="lt-LT"/>
        </w:rPr>
        <w:t xml:space="preserve"> antikūnas, skirtas naudoti pagal 1 arba 2 punktą, kur pacientas žmogus turi vieną arba daugiau mutacijų COL1A1 ir (arba) COL1A2 genuose.</w:t>
      </w:r>
    </w:p>
    <w:p w14:paraId="0B7831FF" w14:textId="77777777" w:rsidR="006A451C" w:rsidRPr="006A451C" w:rsidRDefault="006A451C" w:rsidP="006A451C">
      <w:pPr>
        <w:pStyle w:val="prastasiniatinklio"/>
        <w:spacing w:before="0" w:beforeAutospacing="0" w:after="0" w:afterAutospacing="0" w:line="360" w:lineRule="auto"/>
        <w:ind w:firstLine="567"/>
        <w:jc w:val="both"/>
        <w:rPr>
          <w:rFonts w:ascii="Helvetica" w:hAnsi="Helvetica"/>
          <w:color w:val="000000"/>
          <w:sz w:val="20"/>
          <w:szCs w:val="27"/>
          <w:lang w:val="lt-LT"/>
        </w:rPr>
      </w:pPr>
    </w:p>
    <w:p w14:paraId="041E0924" w14:textId="77777777" w:rsidR="006A451C" w:rsidRPr="006A451C" w:rsidRDefault="006A451C" w:rsidP="006A451C">
      <w:pPr>
        <w:pStyle w:val="prastasiniatinklio"/>
        <w:spacing w:before="0" w:beforeAutospacing="0" w:after="0" w:afterAutospacing="0" w:line="360" w:lineRule="auto"/>
        <w:ind w:firstLine="567"/>
        <w:jc w:val="both"/>
        <w:rPr>
          <w:rFonts w:ascii="Helvetica" w:hAnsi="Helvetica"/>
          <w:color w:val="000000"/>
          <w:sz w:val="20"/>
          <w:szCs w:val="27"/>
          <w:lang w:val="lt-LT"/>
        </w:rPr>
      </w:pPr>
      <w:r w:rsidRPr="006A451C">
        <w:rPr>
          <w:rFonts w:ascii="Helvetica" w:hAnsi="Helvetica"/>
          <w:color w:val="000000"/>
          <w:sz w:val="20"/>
          <w:szCs w:val="27"/>
          <w:lang w:val="lt-LT"/>
        </w:rPr>
        <w:t xml:space="preserve">4. </w:t>
      </w:r>
      <w:proofErr w:type="spellStart"/>
      <w:r w:rsidRPr="006A451C">
        <w:rPr>
          <w:rFonts w:ascii="Helvetica" w:hAnsi="Helvetica"/>
          <w:color w:val="000000"/>
          <w:sz w:val="20"/>
          <w:szCs w:val="27"/>
          <w:lang w:val="lt-LT"/>
        </w:rPr>
        <w:t>Antisklerostino</w:t>
      </w:r>
      <w:proofErr w:type="spellEnd"/>
      <w:r w:rsidRPr="006A451C">
        <w:rPr>
          <w:rFonts w:ascii="Helvetica" w:hAnsi="Helvetica"/>
          <w:color w:val="000000"/>
          <w:sz w:val="20"/>
          <w:szCs w:val="27"/>
          <w:lang w:val="lt-LT"/>
        </w:rPr>
        <w:t xml:space="preserve"> antikūnas, skirtas naudoti pagal bet kurį ankstesnį punktą, kur </w:t>
      </w:r>
      <w:proofErr w:type="spellStart"/>
      <w:r w:rsidRPr="006A451C">
        <w:rPr>
          <w:rFonts w:ascii="Helvetica" w:hAnsi="Helvetica"/>
          <w:color w:val="000000"/>
          <w:sz w:val="20"/>
          <w:szCs w:val="27"/>
          <w:lang w:val="lt-LT"/>
        </w:rPr>
        <w:t>antisklerostino</w:t>
      </w:r>
      <w:proofErr w:type="spellEnd"/>
      <w:r w:rsidRPr="006A451C">
        <w:rPr>
          <w:rFonts w:ascii="Helvetica" w:hAnsi="Helvetica"/>
          <w:color w:val="000000"/>
          <w:sz w:val="20"/>
          <w:szCs w:val="27"/>
          <w:lang w:val="lt-LT"/>
        </w:rPr>
        <w:t xml:space="preserve"> antikūnas apima:</w:t>
      </w:r>
    </w:p>
    <w:p w14:paraId="0F5160DB" w14:textId="77777777" w:rsidR="006A451C" w:rsidRPr="006A451C" w:rsidRDefault="006A451C" w:rsidP="006A451C">
      <w:pPr>
        <w:pStyle w:val="prastasiniatinklio"/>
        <w:spacing w:before="0" w:beforeAutospacing="0" w:after="0" w:afterAutospacing="0" w:line="360" w:lineRule="auto"/>
        <w:jc w:val="both"/>
        <w:rPr>
          <w:rFonts w:ascii="Helvetica" w:hAnsi="Helvetica"/>
          <w:color w:val="000000"/>
          <w:sz w:val="20"/>
          <w:szCs w:val="27"/>
          <w:lang w:val="lt-LT"/>
        </w:rPr>
      </w:pPr>
      <w:r w:rsidRPr="006A451C">
        <w:rPr>
          <w:rFonts w:ascii="Helvetica" w:hAnsi="Helvetica"/>
          <w:color w:val="000000"/>
          <w:sz w:val="20"/>
          <w:szCs w:val="27"/>
          <w:lang w:val="lt-LT"/>
        </w:rPr>
        <w:t xml:space="preserve">a) VH </w:t>
      </w:r>
      <w:proofErr w:type="spellStart"/>
      <w:r w:rsidRPr="006A451C">
        <w:rPr>
          <w:rFonts w:ascii="Helvetica" w:hAnsi="Helvetica"/>
          <w:color w:val="000000"/>
          <w:sz w:val="20"/>
          <w:szCs w:val="27"/>
          <w:lang w:val="lt-LT"/>
        </w:rPr>
        <w:t>polipeptido</w:t>
      </w:r>
      <w:proofErr w:type="spellEnd"/>
      <w:r w:rsidRPr="006A451C">
        <w:rPr>
          <w:rFonts w:ascii="Helvetica" w:hAnsi="Helvetica"/>
          <w:color w:val="000000"/>
          <w:sz w:val="20"/>
          <w:szCs w:val="27"/>
          <w:lang w:val="lt-LT"/>
        </w:rPr>
        <w:t xml:space="preserve"> seką, turinčią mažiausiai 90 procentų sekos identiškumą aminorūgščių sekoms, nurodytoms kaip SEQ ID Nr. 70; ir (arba)</w:t>
      </w:r>
    </w:p>
    <w:p w14:paraId="3FFD5C91" w14:textId="77777777" w:rsidR="006A451C" w:rsidRPr="006A451C" w:rsidRDefault="006A451C" w:rsidP="006A451C">
      <w:pPr>
        <w:pStyle w:val="prastasiniatinklio"/>
        <w:spacing w:before="0" w:beforeAutospacing="0" w:after="0" w:afterAutospacing="0" w:line="360" w:lineRule="auto"/>
        <w:jc w:val="both"/>
        <w:rPr>
          <w:rFonts w:ascii="Helvetica" w:hAnsi="Helvetica"/>
          <w:color w:val="000000"/>
          <w:sz w:val="20"/>
          <w:szCs w:val="27"/>
          <w:lang w:val="lt-LT"/>
        </w:rPr>
      </w:pPr>
      <w:r w:rsidRPr="006A451C">
        <w:rPr>
          <w:rFonts w:ascii="Helvetica" w:hAnsi="Helvetica"/>
          <w:color w:val="000000"/>
          <w:sz w:val="20"/>
          <w:szCs w:val="27"/>
          <w:lang w:val="lt-LT"/>
        </w:rPr>
        <w:t xml:space="preserve">b) VL </w:t>
      </w:r>
      <w:proofErr w:type="spellStart"/>
      <w:r w:rsidRPr="006A451C">
        <w:rPr>
          <w:rFonts w:ascii="Helvetica" w:hAnsi="Helvetica"/>
          <w:color w:val="000000"/>
          <w:sz w:val="20"/>
          <w:szCs w:val="27"/>
          <w:lang w:val="lt-LT"/>
        </w:rPr>
        <w:t>polipeptido</w:t>
      </w:r>
      <w:proofErr w:type="spellEnd"/>
      <w:r w:rsidRPr="006A451C">
        <w:rPr>
          <w:rFonts w:ascii="Helvetica" w:hAnsi="Helvetica"/>
          <w:color w:val="000000"/>
          <w:sz w:val="20"/>
          <w:szCs w:val="27"/>
          <w:lang w:val="lt-LT"/>
        </w:rPr>
        <w:t xml:space="preserve"> seką, turinčią mažiausiai 90 procentų sekos identiškumą aminorūgščių sekoms, nurodytoms kaip SEQ ID Nr. 81.</w:t>
      </w:r>
    </w:p>
    <w:p w14:paraId="58619F00" w14:textId="77777777" w:rsidR="006A451C" w:rsidRPr="006A451C" w:rsidRDefault="006A451C" w:rsidP="006A451C">
      <w:pPr>
        <w:pStyle w:val="prastasiniatinklio"/>
        <w:spacing w:before="0" w:beforeAutospacing="0" w:after="0" w:afterAutospacing="0" w:line="360" w:lineRule="auto"/>
        <w:jc w:val="both"/>
        <w:rPr>
          <w:rFonts w:ascii="Helvetica" w:hAnsi="Helvetica"/>
          <w:color w:val="000000"/>
          <w:sz w:val="20"/>
          <w:szCs w:val="27"/>
          <w:lang w:val="lt-LT"/>
        </w:rPr>
      </w:pPr>
    </w:p>
    <w:p w14:paraId="75D50A8D" w14:textId="77777777" w:rsidR="006A451C" w:rsidRPr="006A451C" w:rsidRDefault="006A451C" w:rsidP="006A451C">
      <w:pPr>
        <w:pStyle w:val="prastasiniatinklio"/>
        <w:spacing w:before="0" w:beforeAutospacing="0" w:after="0" w:afterAutospacing="0" w:line="360" w:lineRule="auto"/>
        <w:ind w:firstLine="567"/>
        <w:jc w:val="both"/>
        <w:rPr>
          <w:rFonts w:ascii="Helvetica" w:hAnsi="Helvetica"/>
          <w:color w:val="000000"/>
          <w:sz w:val="20"/>
          <w:szCs w:val="27"/>
          <w:lang w:val="lt-LT"/>
        </w:rPr>
      </w:pPr>
      <w:r w:rsidRPr="006A451C">
        <w:rPr>
          <w:rFonts w:ascii="Helvetica" w:hAnsi="Helvetica"/>
          <w:color w:val="000000"/>
          <w:sz w:val="20"/>
          <w:szCs w:val="27"/>
          <w:lang w:val="lt-LT"/>
        </w:rPr>
        <w:t xml:space="preserve">5. </w:t>
      </w:r>
      <w:proofErr w:type="spellStart"/>
      <w:r w:rsidRPr="006A451C">
        <w:rPr>
          <w:rFonts w:ascii="Helvetica" w:hAnsi="Helvetica"/>
          <w:color w:val="000000"/>
          <w:sz w:val="20"/>
          <w:szCs w:val="27"/>
          <w:lang w:val="lt-LT"/>
        </w:rPr>
        <w:t>Antisklerostino</w:t>
      </w:r>
      <w:proofErr w:type="spellEnd"/>
      <w:r w:rsidRPr="006A451C">
        <w:rPr>
          <w:rFonts w:ascii="Helvetica" w:hAnsi="Helvetica"/>
          <w:color w:val="000000"/>
          <w:sz w:val="20"/>
          <w:szCs w:val="27"/>
          <w:lang w:val="lt-LT"/>
        </w:rPr>
        <w:t xml:space="preserve"> antikūnas, skirtas naudoti pagal bet kurį ankstesnį punktą, kur </w:t>
      </w:r>
      <w:proofErr w:type="spellStart"/>
      <w:r w:rsidRPr="006A451C">
        <w:rPr>
          <w:rFonts w:ascii="Helvetica" w:hAnsi="Helvetica"/>
          <w:color w:val="000000"/>
          <w:sz w:val="20"/>
          <w:szCs w:val="27"/>
          <w:lang w:val="lt-LT"/>
        </w:rPr>
        <w:t>antisklerostino</w:t>
      </w:r>
      <w:proofErr w:type="spellEnd"/>
      <w:r w:rsidRPr="006A451C">
        <w:rPr>
          <w:rFonts w:ascii="Helvetica" w:hAnsi="Helvetica"/>
          <w:color w:val="000000"/>
          <w:sz w:val="20"/>
          <w:szCs w:val="27"/>
          <w:lang w:val="lt-LT"/>
        </w:rPr>
        <w:t xml:space="preserve"> antikūnas apima:</w:t>
      </w:r>
    </w:p>
    <w:p w14:paraId="0902C84D" w14:textId="77777777" w:rsidR="006A451C" w:rsidRPr="006A451C" w:rsidRDefault="006A451C" w:rsidP="006A451C">
      <w:pPr>
        <w:pStyle w:val="prastasiniatinklio"/>
        <w:spacing w:before="0" w:beforeAutospacing="0" w:after="0" w:afterAutospacing="0" w:line="360" w:lineRule="auto"/>
        <w:jc w:val="both"/>
        <w:rPr>
          <w:rFonts w:ascii="Helvetica" w:hAnsi="Helvetica"/>
          <w:color w:val="000000"/>
          <w:sz w:val="20"/>
          <w:szCs w:val="27"/>
          <w:lang w:val="lt-LT"/>
        </w:rPr>
      </w:pPr>
      <w:r w:rsidRPr="006A451C">
        <w:rPr>
          <w:rFonts w:ascii="Helvetica" w:hAnsi="Helvetica"/>
          <w:color w:val="000000"/>
          <w:sz w:val="20"/>
          <w:szCs w:val="27"/>
          <w:lang w:val="lt-LT"/>
        </w:rPr>
        <w:t>a) viso ilgio sunkiosios grandinės aminorūgščių seką, turinčią mažiausiai 90 procentų sekos identiškumą aminorūgščių sekai, nurodytai kaip SEQ ID Nr. 172; ir (arba)</w:t>
      </w:r>
    </w:p>
    <w:p w14:paraId="4ACAD5DD" w14:textId="77777777" w:rsidR="006A451C" w:rsidRPr="006A451C" w:rsidRDefault="006A451C" w:rsidP="006A451C">
      <w:pPr>
        <w:pStyle w:val="prastasiniatinklio"/>
        <w:spacing w:before="0" w:beforeAutospacing="0" w:after="0" w:afterAutospacing="0" w:line="360" w:lineRule="auto"/>
        <w:jc w:val="both"/>
        <w:rPr>
          <w:rFonts w:ascii="Helvetica" w:hAnsi="Helvetica"/>
          <w:color w:val="000000"/>
          <w:sz w:val="20"/>
          <w:szCs w:val="27"/>
          <w:lang w:val="lt-LT"/>
        </w:rPr>
      </w:pPr>
      <w:r w:rsidRPr="006A451C">
        <w:rPr>
          <w:rFonts w:ascii="Helvetica" w:hAnsi="Helvetica"/>
          <w:color w:val="000000"/>
          <w:sz w:val="20"/>
          <w:szCs w:val="27"/>
          <w:lang w:val="lt-LT"/>
        </w:rPr>
        <w:t>b) viso ilgio lengvosios grandinės aminorūgščių seką, turinčią mažiausiai 90 procentų sekos identiškumą aminorūgščių sekai, nurodytai kaip SEQ ID Nr. 173.</w:t>
      </w:r>
    </w:p>
    <w:p w14:paraId="6E1F80E6" w14:textId="77777777" w:rsidR="006A451C" w:rsidRPr="006A451C" w:rsidRDefault="006A451C" w:rsidP="006A451C">
      <w:pPr>
        <w:pStyle w:val="prastasiniatinklio"/>
        <w:spacing w:before="0" w:beforeAutospacing="0" w:after="0" w:afterAutospacing="0" w:line="360" w:lineRule="auto"/>
        <w:jc w:val="both"/>
        <w:rPr>
          <w:rFonts w:ascii="Helvetica" w:hAnsi="Helvetica"/>
          <w:color w:val="000000"/>
          <w:sz w:val="20"/>
          <w:szCs w:val="27"/>
          <w:lang w:val="lt-LT"/>
        </w:rPr>
      </w:pPr>
    </w:p>
    <w:p w14:paraId="627B5959" w14:textId="77777777" w:rsidR="006A451C" w:rsidRPr="006A451C" w:rsidRDefault="006A451C" w:rsidP="006A451C">
      <w:pPr>
        <w:pStyle w:val="prastasiniatinklio"/>
        <w:spacing w:before="0" w:beforeAutospacing="0" w:after="0" w:afterAutospacing="0" w:line="360" w:lineRule="auto"/>
        <w:ind w:firstLine="567"/>
        <w:jc w:val="both"/>
        <w:rPr>
          <w:rFonts w:ascii="Helvetica" w:hAnsi="Helvetica"/>
          <w:color w:val="000000"/>
          <w:sz w:val="20"/>
          <w:szCs w:val="27"/>
          <w:lang w:val="lt-LT"/>
        </w:rPr>
      </w:pPr>
      <w:r w:rsidRPr="006A451C">
        <w:rPr>
          <w:rFonts w:ascii="Helvetica" w:hAnsi="Helvetica"/>
          <w:color w:val="000000"/>
          <w:sz w:val="20"/>
          <w:szCs w:val="27"/>
          <w:lang w:val="lt-LT"/>
        </w:rPr>
        <w:t xml:space="preserve">6. </w:t>
      </w:r>
      <w:proofErr w:type="spellStart"/>
      <w:r w:rsidRPr="006A451C">
        <w:rPr>
          <w:rFonts w:ascii="Helvetica" w:hAnsi="Helvetica"/>
          <w:color w:val="000000"/>
          <w:sz w:val="20"/>
          <w:szCs w:val="27"/>
          <w:lang w:val="lt-LT"/>
        </w:rPr>
        <w:t>Antisklerostino</w:t>
      </w:r>
      <w:proofErr w:type="spellEnd"/>
      <w:r w:rsidRPr="006A451C">
        <w:rPr>
          <w:rFonts w:ascii="Helvetica" w:hAnsi="Helvetica"/>
          <w:color w:val="000000"/>
          <w:sz w:val="20"/>
          <w:szCs w:val="27"/>
          <w:lang w:val="lt-LT"/>
        </w:rPr>
        <w:t xml:space="preserve"> antikūnas, skirtas naudoti pagal bet kurį ankstesnį punktą, kur </w:t>
      </w:r>
      <w:proofErr w:type="spellStart"/>
      <w:r w:rsidRPr="006A451C">
        <w:rPr>
          <w:rFonts w:ascii="Helvetica" w:hAnsi="Helvetica"/>
          <w:color w:val="000000"/>
          <w:sz w:val="20"/>
          <w:szCs w:val="27"/>
          <w:lang w:val="lt-LT"/>
        </w:rPr>
        <w:t>antisklerostino</w:t>
      </w:r>
      <w:proofErr w:type="spellEnd"/>
      <w:r w:rsidRPr="006A451C">
        <w:rPr>
          <w:rFonts w:ascii="Helvetica" w:hAnsi="Helvetica"/>
          <w:color w:val="000000"/>
          <w:sz w:val="20"/>
          <w:szCs w:val="27"/>
          <w:lang w:val="lt-LT"/>
        </w:rPr>
        <w:t xml:space="preserve"> antikūnas apima VL </w:t>
      </w:r>
      <w:proofErr w:type="spellStart"/>
      <w:r w:rsidRPr="006A451C">
        <w:rPr>
          <w:rFonts w:ascii="Helvetica" w:hAnsi="Helvetica"/>
          <w:color w:val="000000"/>
          <w:sz w:val="20"/>
          <w:szCs w:val="27"/>
          <w:lang w:val="lt-LT"/>
        </w:rPr>
        <w:t>polipeptido</w:t>
      </w:r>
      <w:proofErr w:type="spellEnd"/>
      <w:r w:rsidRPr="006A451C">
        <w:rPr>
          <w:rFonts w:ascii="Helvetica" w:hAnsi="Helvetica"/>
          <w:color w:val="000000"/>
          <w:sz w:val="20"/>
          <w:szCs w:val="27"/>
          <w:lang w:val="lt-LT"/>
        </w:rPr>
        <w:t xml:space="preserve"> seką, apimančią aminorūgščių seką, nurodytą kaip SEQ ID Nr. 81, ir VH </w:t>
      </w:r>
      <w:proofErr w:type="spellStart"/>
      <w:r w:rsidRPr="006A451C">
        <w:rPr>
          <w:rFonts w:ascii="Helvetica" w:hAnsi="Helvetica"/>
          <w:color w:val="000000"/>
          <w:sz w:val="20"/>
          <w:szCs w:val="27"/>
          <w:lang w:val="lt-LT"/>
        </w:rPr>
        <w:t>polipeptido</w:t>
      </w:r>
      <w:proofErr w:type="spellEnd"/>
      <w:r w:rsidRPr="006A451C">
        <w:rPr>
          <w:rFonts w:ascii="Helvetica" w:hAnsi="Helvetica"/>
          <w:color w:val="000000"/>
          <w:sz w:val="20"/>
          <w:szCs w:val="27"/>
          <w:lang w:val="lt-LT"/>
        </w:rPr>
        <w:t xml:space="preserve"> seką, apimančią aminorūgščių seką, nurodytą kaip SEQ ID Nr. 70.</w:t>
      </w:r>
    </w:p>
    <w:p w14:paraId="3ADB5270" w14:textId="77777777" w:rsidR="006A451C" w:rsidRPr="006A451C" w:rsidRDefault="006A451C" w:rsidP="006A451C">
      <w:pPr>
        <w:pStyle w:val="prastasiniatinklio"/>
        <w:spacing w:before="0" w:beforeAutospacing="0" w:after="0" w:afterAutospacing="0" w:line="360" w:lineRule="auto"/>
        <w:ind w:firstLine="567"/>
        <w:jc w:val="both"/>
        <w:rPr>
          <w:rFonts w:ascii="Helvetica" w:hAnsi="Helvetica"/>
          <w:color w:val="000000"/>
          <w:sz w:val="20"/>
          <w:szCs w:val="27"/>
          <w:lang w:val="lt-LT"/>
        </w:rPr>
      </w:pPr>
    </w:p>
    <w:p w14:paraId="311F91E9" w14:textId="77777777" w:rsidR="006A451C" w:rsidRPr="006A451C" w:rsidRDefault="006A451C" w:rsidP="006A451C">
      <w:pPr>
        <w:pStyle w:val="prastasiniatinklio"/>
        <w:spacing w:before="0" w:beforeAutospacing="0" w:after="0" w:afterAutospacing="0" w:line="360" w:lineRule="auto"/>
        <w:ind w:firstLine="567"/>
        <w:jc w:val="both"/>
        <w:rPr>
          <w:rFonts w:ascii="Helvetica" w:hAnsi="Helvetica"/>
          <w:color w:val="000000"/>
          <w:sz w:val="20"/>
          <w:szCs w:val="27"/>
          <w:lang w:val="lt-LT"/>
        </w:rPr>
      </w:pPr>
      <w:r w:rsidRPr="006A451C">
        <w:rPr>
          <w:rFonts w:ascii="Helvetica" w:hAnsi="Helvetica"/>
          <w:color w:val="000000"/>
          <w:sz w:val="20"/>
          <w:szCs w:val="27"/>
          <w:lang w:val="lt-LT"/>
        </w:rPr>
        <w:t xml:space="preserve">7. </w:t>
      </w:r>
      <w:proofErr w:type="spellStart"/>
      <w:r w:rsidRPr="006A451C">
        <w:rPr>
          <w:rFonts w:ascii="Helvetica" w:hAnsi="Helvetica"/>
          <w:color w:val="000000"/>
          <w:sz w:val="20"/>
          <w:szCs w:val="27"/>
          <w:lang w:val="lt-LT"/>
        </w:rPr>
        <w:t>Antisklerostino</w:t>
      </w:r>
      <w:proofErr w:type="spellEnd"/>
      <w:r w:rsidRPr="006A451C">
        <w:rPr>
          <w:rFonts w:ascii="Helvetica" w:hAnsi="Helvetica"/>
          <w:color w:val="000000"/>
          <w:sz w:val="20"/>
          <w:szCs w:val="27"/>
          <w:lang w:val="lt-LT"/>
        </w:rPr>
        <w:t xml:space="preserve"> antikūnas, skirtas naudoti pagal bet kurį ankstesnį punktą, kur </w:t>
      </w:r>
      <w:proofErr w:type="spellStart"/>
      <w:r w:rsidRPr="006A451C">
        <w:rPr>
          <w:rFonts w:ascii="Helvetica" w:hAnsi="Helvetica"/>
          <w:color w:val="000000"/>
          <w:sz w:val="20"/>
          <w:szCs w:val="27"/>
          <w:lang w:val="lt-LT"/>
        </w:rPr>
        <w:t>antisklerostino</w:t>
      </w:r>
      <w:proofErr w:type="spellEnd"/>
      <w:r w:rsidRPr="006A451C">
        <w:rPr>
          <w:rFonts w:ascii="Helvetica" w:hAnsi="Helvetica"/>
          <w:color w:val="000000"/>
          <w:sz w:val="20"/>
          <w:szCs w:val="27"/>
          <w:lang w:val="lt-LT"/>
        </w:rPr>
        <w:t xml:space="preserve"> antikūnas apima viso ilgio lengvosios grandinės aminorūgščių seką, apimančią aminorūgščių seką, nurodytą kaip SEQ ID Nr. 173, ir viso ilgio sunkiosios grandinės aminorūgščių seką, apimančią aminorūgščių seką, nurodytą kaip SEQ ID Nr. 172.</w:t>
      </w:r>
    </w:p>
    <w:p w14:paraId="2901FBFC" w14:textId="77777777" w:rsidR="006A451C" w:rsidRPr="006A451C" w:rsidRDefault="006A451C" w:rsidP="006A451C">
      <w:pPr>
        <w:pStyle w:val="prastasiniatinklio"/>
        <w:spacing w:before="0" w:beforeAutospacing="0" w:after="0" w:afterAutospacing="0" w:line="360" w:lineRule="auto"/>
        <w:ind w:firstLine="567"/>
        <w:jc w:val="both"/>
        <w:rPr>
          <w:rFonts w:ascii="Helvetica" w:hAnsi="Helvetica"/>
          <w:color w:val="000000"/>
          <w:sz w:val="20"/>
          <w:szCs w:val="27"/>
          <w:lang w:val="lt-LT"/>
        </w:rPr>
      </w:pPr>
    </w:p>
    <w:p w14:paraId="232D64AC" w14:textId="77777777" w:rsidR="006A451C" w:rsidRPr="006A451C" w:rsidRDefault="006A451C" w:rsidP="006A451C">
      <w:pPr>
        <w:pStyle w:val="prastasiniatinklio"/>
        <w:spacing w:before="0" w:beforeAutospacing="0" w:after="0" w:afterAutospacing="0" w:line="360" w:lineRule="auto"/>
        <w:ind w:firstLine="567"/>
        <w:jc w:val="both"/>
        <w:rPr>
          <w:rFonts w:ascii="Helvetica" w:hAnsi="Helvetica"/>
          <w:color w:val="000000"/>
          <w:sz w:val="20"/>
          <w:szCs w:val="27"/>
          <w:lang w:val="lt-LT"/>
        </w:rPr>
      </w:pPr>
      <w:r w:rsidRPr="006A451C">
        <w:rPr>
          <w:rFonts w:ascii="Helvetica" w:hAnsi="Helvetica"/>
          <w:color w:val="000000"/>
          <w:sz w:val="20"/>
          <w:szCs w:val="27"/>
          <w:lang w:val="lt-LT"/>
        </w:rPr>
        <w:lastRenderedPageBreak/>
        <w:t xml:space="preserve">8. </w:t>
      </w:r>
      <w:proofErr w:type="spellStart"/>
      <w:r w:rsidRPr="006A451C">
        <w:rPr>
          <w:rFonts w:ascii="Helvetica" w:hAnsi="Helvetica"/>
          <w:color w:val="000000"/>
          <w:sz w:val="20"/>
          <w:szCs w:val="27"/>
          <w:lang w:val="lt-LT"/>
        </w:rPr>
        <w:t>Antisklerostino</w:t>
      </w:r>
      <w:proofErr w:type="spellEnd"/>
      <w:r w:rsidRPr="006A451C">
        <w:rPr>
          <w:rFonts w:ascii="Helvetica" w:hAnsi="Helvetica"/>
          <w:color w:val="000000"/>
          <w:sz w:val="20"/>
          <w:szCs w:val="27"/>
          <w:lang w:val="lt-LT"/>
        </w:rPr>
        <w:t xml:space="preserve"> antikūnas, skirtas naudoti pagal bet kurį ankstesnį punktą, kur gydymo režimas apima pirmąjį 20 mg 1 kg paciento žmogaus kūno svorio dozavimo režimą, skiriant vartoti kas mėnesį, po kurio seka antrasis dozavimo režimas.</w:t>
      </w:r>
    </w:p>
    <w:p w14:paraId="6DA12406" w14:textId="77777777" w:rsidR="006A451C" w:rsidRPr="006A451C" w:rsidRDefault="006A451C" w:rsidP="006A451C">
      <w:pPr>
        <w:pStyle w:val="prastasiniatinklio"/>
        <w:spacing w:before="0" w:beforeAutospacing="0" w:after="0" w:afterAutospacing="0" w:line="360" w:lineRule="auto"/>
        <w:ind w:firstLine="567"/>
        <w:jc w:val="both"/>
        <w:rPr>
          <w:rFonts w:ascii="Helvetica" w:hAnsi="Helvetica"/>
          <w:color w:val="000000"/>
          <w:sz w:val="20"/>
          <w:szCs w:val="27"/>
          <w:lang w:val="lt-LT"/>
        </w:rPr>
      </w:pPr>
    </w:p>
    <w:p w14:paraId="1F7BE9D6" w14:textId="77777777" w:rsidR="006A451C" w:rsidRPr="006A451C" w:rsidRDefault="006A451C" w:rsidP="006A451C">
      <w:pPr>
        <w:pStyle w:val="prastasiniatinklio"/>
        <w:spacing w:before="0" w:beforeAutospacing="0" w:after="0" w:afterAutospacing="0" w:line="360" w:lineRule="auto"/>
        <w:ind w:firstLine="567"/>
        <w:jc w:val="both"/>
        <w:rPr>
          <w:rFonts w:ascii="Helvetica" w:hAnsi="Helvetica"/>
          <w:color w:val="000000"/>
          <w:sz w:val="20"/>
          <w:szCs w:val="27"/>
          <w:lang w:val="lt-LT"/>
        </w:rPr>
      </w:pPr>
      <w:r w:rsidRPr="006A451C">
        <w:rPr>
          <w:rFonts w:ascii="Helvetica" w:hAnsi="Helvetica"/>
          <w:color w:val="000000"/>
          <w:sz w:val="20"/>
          <w:szCs w:val="27"/>
          <w:lang w:val="lt-LT"/>
        </w:rPr>
        <w:t xml:space="preserve">9. </w:t>
      </w:r>
      <w:proofErr w:type="spellStart"/>
      <w:r w:rsidRPr="006A451C">
        <w:rPr>
          <w:rFonts w:ascii="Helvetica" w:hAnsi="Helvetica"/>
          <w:color w:val="000000"/>
          <w:sz w:val="20"/>
          <w:szCs w:val="27"/>
          <w:lang w:val="lt-LT"/>
        </w:rPr>
        <w:t>Antisklerostino</w:t>
      </w:r>
      <w:proofErr w:type="spellEnd"/>
      <w:r w:rsidRPr="006A451C">
        <w:rPr>
          <w:rFonts w:ascii="Helvetica" w:hAnsi="Helvetica"/>
          <w:color w:val="000000"/>
          <w:sz w:val="20"/>
          <w:szCs w:val="27"/>
          <w:lang w:val="lt-LT"/>
        </w:rPr>
        <w:t xml:space="preserve"> antikūnas, skirtas naudoti pagal 8 punktą, kur:</w:t>
      </w:r>
    </w:p>
    <w:p w14:paraId="6FC677ED" w14:textId="77777777" w:rsidR="006A451C" w:rsidRPr="006A451C" w:rsidRDefault="006A451C" w:rsidP="006A451C">
      <w:pPr>
        <w:pStyle w:val="prastasiniatinklio"/>
        <w:spacing w:before="0" w:beforeAutospacing="0" w:after="0" w:afterAutospacing="0" w:line="360" w:lineRule="auto"/>
        <w:jc w:val="both"/>
        <w:rPr>
          <w:rFonts w:ascii="Helvetica" w:hAnsi="Helvetica"/>
          <w:color w:val="000000"/>
          <w:sz w:val="20"/>
          <w:szCs w:val="27"/>
          <w:lang w:val="lt-LT"/>
        </w:rPr>
      </w:pPr>
      <w:r w:rsidRPr="006A451C">
        <w:rPr>
          <w:rFonts w:ascii="Helvetica" w:hAnsi="Helvetica"/>
          <w:color w:val="000000"/>
          <w:sz w:val="20"/>
          <w:szCs w:val="27"/>
          <w:lang w:val="lt-LT"/>
        </w:rPr>
        <w:t>(a) antrasis dozavimo režimas yra 1-50 mg 1 kg paciento žmogaus kūno svorio, skiriant vartoti kas du mėnesius arba kas ketvirtį, pavyzdžiui, antrasis dozavimo režimas yra 20 mg 1 kg paciento žmogaus kūno svorio, skiriant vartoti kas mėnesį arba kas ketvirtį; arba</w:t>
      </w:r>
    </w:p>
    <w:p w14:paraId="2BF3C05A" w14:textId="77777777" w:rsidR="006A451C" w:rsidRPr="006A451C" w:rsidRDefault="006A451C" w:rsidP="006A451C">
      <w:pPr>
        <w:pStyle w:val="prastasiniatinklio"/>
        <w:spacing w:before="0" w:beforeAutospacing="0" w:after="0" w:afterAutospacing="0" w:line="360" w:lineRule="auto"/>
        <w:jc w:val="both"/>
        <w:rPr>
          <w:rFonts w:ascii="Helvetica" w:hAnsi="Helvetica"/>
          <w:color w:val="000000"/>
          <w:sz w:val="20"/>
          <w:szCs w:val="27"/>
          <w:lang w:val="lt-LT"/>
        </w:rPr>
      </w:pPr>
      <w:r w:rsidRPr="006A451C">
        <w:rPr>
          <w:rFonts w:ascii="Helvetica" w:hAnsi="Helvetica"/>
          <w:color w:val="000000"/>
          <w:sz w:val="20"/>
          <w:szCs w:val="27"/>
          <w:lang w:val="lt-LT"/>
        </w:rPr>
        <w:t>(b) pirmasis dozavimo režimas yra 20 mg 1 kg paciento žmogaus kūno svorio, skiriant vartoti kas mėnesį 1 metus, o antrasis dozavimo režimas yra 20 mg 1 kg paciento žmogaus kūno svorio, skiriant vartoti kas mėnesį arba kas ketvirtį mažiausiai 1 metus.</w:t>
      </w:r>
    </w:p>
    <w:p w14:paraId="626EA113" w14:textId="77777777" w:rsidR="006A451C" w:rsidRPr="006A451C" w:rsidRDefault="006A451C" w:rsidP="006A451C">
      <w:pPr>
        <w:pStyle w:val="prastasiniatinklio"/>
        <w:spacing w:before="0" w:beforeAutospacing="0" w:after="0" w:afterAutospacing="0" w:line="360" w:lineRule="auto"/>
        <w:jc w:val="both"/>
        <w:rPr>
          <w:rFonts w:ascii="Helvetica" w:hAnsi="Helvetica"/>
          <w:color w:val="000000"/>
          <w:sz w:val="20"/>
          <w:szCs w:val="27"/>
          <w:lang w:val="lt-LT"/>
        </w:rPr>
      </w:pPr>
    </w:p>
    <w:p w14:paraId="4126FCE9" w14:textId="77777777" w:rsidR="006A451C" w:rsidRPr="006A451C" w:rsidRDefault="006A451C" w:rsidP="006A451C">
      <w:pPr>
        <w:pStyle w:val="prastasiniatinklio"/>
        <w:spacing w:before="0" w:beforeAutospacing="0" w:after="0" w:afterAutospacing="0" w:line="360" w:lineRule="auto"/>
        <w:ind w:firstLine="567"/>
        <w:jc w:val="both"/>
        <w:rPr>
          <w:rFonts w:ascii="Helvetica" w:hAnsi="Helvetica"/>
          <w:color w:val="000000"/>
          <w:sz w:val="20"/>
          <w:szCs w:val="27"/>
          <w:lang w:val="lt-LT"/>
        </w:rPr>
      </w:pPr>
      <w:r w:rsidRPr="006A451C">
        <w:rPr>
          <w:rFonts w:ascii="Helvetica" w:hAnsi="Helvetica"/>
          <w:color w:val="000000"/>
          <w:sz w:val="20"/>
          <w:szCs w:val="27"/>
          <w:lang w:val="lt-LT"/>
        </w:rPr>
        <w:t xml:space="preserve">10. </w:t>
      </w:r>
      <w:proofErr w:type="spellStart"/>
      <w:r w:rsidRPr="006A451C">
        <w:rPr>
          <w:rFonts w:ascii="Helvetica" w:hAnsi="Helvetica"/>
          <w:color w:val="000000"/>
          <w:sz w:val="20"/>
          <w:szCs w:val="27"/>
          <w:lang w:val="lt-LT"/>
        </w:rPr>
        <w:t>Antisklerostino</w:t>
      </w:r>
      <w:proofErr w:type="spellEnd"/>
      <w:r w:rsidRPr="006A451C">
        <w:rPr>
          <w:rFonts w:ascii="Helvetica" w:hAnsi="Helvetica"/>
          <w:color w:val="000000"/>
          <w:sz w:val="20"/>
          <w:szCs w:val="27"/>
          <w:lang w:val="lt-LT"/>
        </w:rPr>
        <w:t xml:space="preserve"> antikūnas, skirtas naudoti pagal bet kurį ankstesnį punktą, kur </w:t>
      </w:r>
      <w:proofErr w:type="spellStart"/>
      <w:r w:rsidRPr="006A451C">
        <w:rPr>
          <w:rFonts w:ascii="Helvetica" w:hAnsi="Helvetica"/>
          <w:color w:val="000000"/>
          <w:sz w:val="20"/>
          <w:szCs w:val="27"/>
          <w:lang w:val="lt-LT"/>
        </w:rPr>
        <w:t>antisklerostino</w:t>
      </w:r>
      <w:proofErr w:type="spellEnd"/>
      <w:r w:rsidRPr="006A451C">
        <w:rPr>
          <w:rFonts w:ascii="Helvetica" w:hAnsi="Helvetica"/>
          <w:color w:val="000000"/>
          <w:sz w:val="20"/>
          <w:szCs w:val="27"/>
          <w:lang w:val="lt-LT"/>
        </w:rPr>
        <w:t xml:space="preserve"> antikūnas yra įvedamas į veną.</w:t>
      </w:r>
    </w:p>
    <w:p w14:paraId="5A91EBB8" w14:textId="77777777" w:rsidR="006A451C" w:rsidRPr="006A451C" w:rsidRDefault="006A451C" w:rsidP="006A451C">
      <w:pPr>
        <w:pStyle w:val="prastasiniatinklio"/>
        <w:spacing w:before="0" w:beforeAutospacing="0" w:after="0" w:afterAutospacing="0" w:line="360" w:lineRule="auto"/>
        <w:ind w:firstLine="567"/>
        <w:jc w:val="both"/>
        <w:rPr>
          <w:rFonts w:ascii="Helvetica" w:hAnsi="Helvetica"/>
          <w:color w:val="000000"/>
          <w:sz w:val="20"/>
          <w:szCs w:val="27"/>
          <w:lang w:val="lt-LT"/>
        </w:rPr>
      </w:pPr>
    </w:p>
    <w:p w14:paraId="0FC143AD" w14:textId="77777777" w:rsidR="006A451C" w:rsidRPr="006A451C" w:rsidRDefault="006A451C" w:rsidP="006A451C">
      <w:pPr>
        <w:pStyle w:val="prastasiniatinklio"/>
        <w:spacing w:before="0" w:beforeAutospacing="0" w:after="0" w:afterAutospacing="0" w:line="360" w:lineRule="auto"/>
        <w:ind w:firstLine="567"/>
        <w:jc w:val="both"/>
        <w:rPr>
          <w:rFonts w:ascii="Helvetica" w:hAnsi="Helvetica"/>
          <w:color w:val="000000"/>
          <w:sz w:val="20"/>
          <w:szCs w:val="27"/>
          <w:lang w:val="lt-LT"/>
        </w:rPr>
      </w:pPr>
      <w:r w:rsidRPr="006A451C">
        <w:rPr>
          <w:rFonts w:ascii="Helvetica" w:hAnsi="Helvetica"/>
          <w:color w:val="000000"/>
          <w:sz w:val="20"/>
          <w:szCs w:val="27"/>
          <w:lang w:val="lt-LT"/>
        </w:rPr>
        <w:t xml:space="preserve">11. </w:t>
      </w:r>
      <w:proofErr w:type="spellStart"/>
      <w:r w:rsidRPr="006A451C">
        <w:rPr>
          <w:rFonts w:ascii="Helvetica" w:hAnsi="Helvetica"/>
          <w:color w:val="000000"/>
          <w:sz w:val="20"/>
          <w:szCs w:val="27"/>
          <w:lang w:val="lt-LT"/>
        </w:rPr>
        <w:t>Antisklerostino</w:t>
      </w:r>
      <w:proofErr w:type="spellEnd"/>
      <w:r w:rsidRPr="006A451C">
        <w:rPr>
          <w:rFonts w:ascii="Helvetica" w:hAnsi="Helvetica"/>
          <w:color w:val="000000"/>
          <w:sz w:val="20"/>
          <w:szCs w:val="27"/>
          <w:lang w:val="lt-LT"/>
        </w:rPr>
        <w:t xml:space="preserve"> antikūnas, skirtas naudoti pagal bet kurį ankstesnį punktą, apimantis papildomo terapinio agento, tokio kaip </w:t>
      </w:r>
      <w:proofErr w:type="spellStart"/>
      <w:r w:rsidRPr="006A451C">
        <w:rPr>
          <w:rFonts w:ascii="Helvetica" w:hAnsi="Helvetica"/>
          <w:color w:val="000000"/>
          <w:sz w:val="20"/>
          <w:szCs w:val="27"/>
          <w:lang w:val="lt-LT"/>
        </w:rPr>
        <w:t>bisfosfonato</w:t>
      </w:r>
      <w:proofErr w:type="spellEnd"/>
      <w:r w:rsidRPr="006A451C">
        <w:rPr>
          <w:rFonts w:ascii="Helvetica" w:hAnsi="Helvetica"/>
          <w:color w:val="000000"/>
          <w:sz w:val="20"/>
          <w:szCs w:val="27"/>
          <w:lang w:val="lt-LT"/>
        </w:rPr>
        <w:t xml:space="preserve">, </w:t>
      </w:r>
      <w:proofErr w:type="spellStart"/>
      <w:r w:rsidRPr="006A451C">
        <w:rPr>
          <w:rFonts w:ascii="Helvetica" w:hAnsi="Helvetica"/>
          <w:color w:val="000000"/>
          <w:sz w:val="20"/>
          <w:szCs w:val="27"/>
          <w:lang w:val="lt-LT"/>
        </w:rPr>
        <w:t>prieskydinės</w:t>
      </w:r>
      <w:proofErr w:type="spellEnd"/>
      <w:r w:rsidRPr="006A451C">
        <w:rPr>
          <w:rFonts w:ascii="Helvetica" w:hAnsi="Helvetica"/>
          <w:color w:val="000000"/>
          <w:sz w:val="20"/>
          <w:szCs w:val="27"/>
          <w:lang w:val="lt-LT"/>
        </w:rPr>
        <w:t xml:space="preserve"> liaukos hormono, </w:t>
      </w:r>
      <w:proofErr w:type="spellStart"/>
      <w:r w:rsidRPr="006A451C">
        <w:rPr>
          <w:rFonts w:ascii="Helvetica" w:hAnsi="Helvetica"/>
          <w:color w:val="000000"/>
          <w:sz w:val="20"/>
          <w:szCs w:val="27"/>
          <w:lang w:val="lt-LT"/>
        </w:rPr>
        <w:t>kalcikinių</w:t>
      </w:r>
      <w:proofErr w:type="spellEnd"/>
      <w:r w:rsidRPr="006A451C">
        <w:rPr>
          <w:rFonts w:ascii="Helvetica" w:hAnsi="Helvetica"/>
          <w:color w:val="000000"/>
          <w:sz w:val="20"/>
          <w:szCs w:val="27"/>
          <w:lang w:val="lt-LT"/>
        </w:rPr>
        <w:t xml:space="preserve">, </w:t>
      </w:r>
      <w:proofErr w:type="spellStart"/>
      <w:r w:rsidRPr="006A451C">
        <w:rPr>
          <w:rFonts w:ascii="Helvetica" w:hAnsi="Helvetica"/>
          <w:color w:val="000000"/>
          <w:sz w:val="20"/>
          <w:szCs w:val="27"/>
          <w:lang w:val="lt-LT"/>
        </w:rPr>
        <w:t>kalcimimetikų</w:t>
      </w:r>
      <w:proofErr w:type="spellEnd"/>
      <w:r w:rsidRPr="006A451C">
        <w:rPr>
          <w:rFonts w:ascii="Helvetica" w:hAnsi="Helvetica"/>
          <w:color w:val="000000"/>
          <w:sz w:val="20"/>
          <w:szCs w:val="27"/>
          <w:lang w:val="lt-LT"/>
        </w:rPr>
        <w:t xml:space="preserve"> (pvz., </w:t>
      </w:r>
      <w:proofErr w:type="spellStart"/>
      <w:r w:rsidRPr="006A451C">
        <w:rPr>
          <w:rFonts w:ascii="Helvetica" w:hAnsi="Helvetica"/>
          <w:color w:val="000000"/>
          <w:sz w:val="20"/>
          <w:szCs w:val="27"/>
          <w:lang w:val="lt-LT"/>
        </w:rPr>
        <w:t>cinakalceto</w:t>
      </w:r>
      <w:proofErr w:type="spellEnd"/>
      <w:r w:rsidRPr="006A451C">
        <w:rPr>
          <w:rFonts w:ascii="Helvetica" w:hAnsi="Helvetica"/>
          <w:color w:val="000000"/>
          <w:sz w:val="20"/>
          <w:szCs w:val="27"/>
          <w:lang w:val="lt-LT"/>
        </w:rPr>
        <w:t xml:space="preserve">), </w:t>
      </w:r>
      <w:proofErr w:type="spellStart"/>
      <w:r w:rsidRPr="006A451C">
        <w:rPr>
          <w:rFonts w:ascii="Helvetica" w:hAnsi="Helvetica"/>
          <w:color w:val="000000"/>
          <w:sz w:val="20"/>
          <w:szCs w:val="27"/>
          <w:lang w:val="lt-LT"/>
        </w:rPr>
        <w:t>statinų</w:t>
      </w:r>
      <w:proofErr w:type="spellEnd"/>
      <w:r w:rsidRPr="006A451C">
        <w:rPr>
          <w:rFonts w:ascii="Helvetica" w:hAnsi="Helvetica"/>
          <w:color w:val="000000"/>
          <w:sz w:val="20"/>
          <w:szCs w:val="27"/>
          <w:lang w:val="lt-LT"/>
        </w:rPr>
        <w:t>, anabolinių steroidų, lantano ir stroncio druskų ir (arba) natrio fluorido, skyrimą.</w:t>
      </w:r>
    </w:p>
    <w:p w14:paraId="2542267F" w14:textId="77777777" w:rsidR="006A451C" w:rsidRPr="006A451C" w:rsidRDefault="006A451C" w:rsidP="006A451C">
      <w:pPr>
        <w:pStyle w:val="prastasiniatinklio"/>
        <w:spacing w:before="0" w:beforeAutospacing="0" w:after="0" w:afterAutospacing="0" w:line="360" w:lineRule="auto"/>
        <w:ind w:firstLine="567"/>
        <w:jc w:val="both"/>
        <w:rPr>
          <w:rFonts w:ascii="Helvetica" w:hAnsi="Helvetica"/>
          <w:color w:val="000000"/>
          <w:sz w:val="20"/>
          <w:szCs w:val="27"/>
          <w:lang w:val="lt-LT"/>
        </w:rPr>
      </w:pPr>
    </w:p>
    <w:p w14:paraId="044DECD6" w14:textId="77777777" w:rsidR="006A451C" w:rsidRPr="006A451C" w:rsidRDefault="006A451C" w:rsidP="006A451C">
      <w:pPr>
        <w:pStyle w:val="prastasiniatinklio"/>
        <w:spacing w:before="0" w:beforeAutospacing="0" w:after="0" w:afterAutospacing="0" w:line="360" w:lineRule="auto"/>
        <w:ind w:firstLine="567"/>
        <w:jc w:val="both"/>
        <w:rPr>
          <w:rFonts w:ascii="Helvetica" w:hAnsi="Helvetica"/>
          <w:color w:val="000000"/>
          <w:sz w:val="20"/>
          <w:szCs w:val="27"/>
          <w:lang w:val="lt-LT"/>
        </w:rPr>
      </w:pPr>
      <w:r w:rsidRPr="006A451C">
        <w:rPr>
          <w:rFonts w:ascii="Helvetica" w:hAnsi="Helvetica"/>
          <w:color w:val="000000"/>
          <w:sz w:val="20"/>
          <w:szCs w:val="27"/>
          <w:lang w:val="lt-LT"/>
        </w:rPr>
        <w:t xml:space="preserve">12. </w:t>
      </w:r>
      <w:proofErr w:type="spellStart"/>
      <w:r w:rsidRPr="006A451C">
        <w:rPr>
          <w:rFonts w:ascii="Helvetica" w:hAnsi="Helvetica"/>
          <w:color w:val="000000"/>
          <w:sz w:val="20"/>
          <w:szCs w:val="27"/>
          <w:lang w:val="lt-LT"/>
        </w:rPr>
        <w:t>Antisklerostino</w:t>
      </w:r>
      <w:proofErr w:type="spellEnd"/>
      <w:r w:rsidRPr="006A451C">
        <w:rPr>
          <w:rFonts w:ascii="Helvetica" w:hAnsi="Helvetica"/>
          <w:color w:val="000000"/>
          <w:sz w:val="20"/>
          <w:szCs w:val="27"/>
          <w:lang w:val="lt-LT"/>
        </w:rPr>
        <w:t xml:space="preserve"> antikūnas, skirtas naudoti pagal bet kurį ankstesnį punktą, kur antikūnas yra suformuotas farmacinėje kompozicijoje.</w:t>
      </w:r>
    </w:p>
    <w:sectPr w:rsidR="006A451C" w:rsidRPr="006A451C" w:rsidSect="006A451C">
      <w:pgSz w:w="11906" w:h="16838"/>
      <w:pgMar w:top="1134" w:right="567"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32BCA" w14:textId="77777777" w:rsidR="006A451C" w:rsidRDefault="006A451C" w:rsidP="006A451C">
      <w:pPr>
        <w:spacing w:after="0" w:line="240" w:lineRule="auto"/>
      </w:pPr>
      <w:r>
        <w:separator/>
      </w:r>
    </w:p>
  </w:endnote>
  <w:endnote w:type="continuationSeparator" w:id="0">
    <w:p w14:paraId="624D231E" w14:textId="77777777" w:rsidR="006A451C" w:rsidRDefault="006A451C" w:rsidP="006A4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F97FE" w14:textId="77777777" w:rsidR="006A451C" w:rsidRDefault="006A451C" w:rsidP="006A451C">
      <w:pPr>
        <w:spacing w:after="0" w:line="240" w:lineRule="auto"/>
      </w:pPr>
      <w:r>
        <w:separator/>
      </w:r>
    </w:p>
  </w:footnote>
  <w:footnote w:type="continuationSeparator" w:id="0">
    <w:p w14:paraId="5A14729F" w14:textId="77777777" w:rsidR="006A451C" w:rsidRDefault="006A451C" w:rsidP="006A45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51C"/>
    <w:rsid w:val="00013CA6"/>
    <w:rsid w:val="002F6125"/>
    <w:rsid w:val="00671E00"/>
    <w:rsid w:val="006A451C"/>
    <w:rsid w:val="007B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9BF7B"/>
  <w14:defaultImageDpi w14:val="32767"/>
  <w15:chartTrackingRefBased/>
  <w15:docId w15:val="{0D033FC0-27C0-46C6-ACEA-93D751E0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A4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A4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A451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A451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A451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A451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451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451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451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451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A451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A451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A451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A451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A451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451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451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451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4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45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451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451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45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451C"/>
    <w:rPr>
      <w:i/>
      <w:iCs/>
      <w:color w:val="404040" w:themeColor="text1" w:themeTint="BF"/>
    </w:rPr>
  </w:style>
  <w:style w:type="paragraph" w:styleId="Sraopastraipa">
    <w:name w:val="List Paragraph"/>
    <w:basedOn w:val="prastasis"/>
    <w:uiPriority w:val="34"/>
    <w:qFormat/>
    <w:rsid w:val="006A451C"/>
    <w:pPr>
      <w:ind w:left="720"/>
      <w:contextualSpacing/>
    </w:pPr>
  </w:style>
  <w:style w:type="character" w:styleId="Rykuspabraukimas">
    <w:name w:val="Intense Emphasis"/>
    <w:basedOn w:val="Numatytasispastraiposriftas"/>
    <w:uiPriority w:val="21"/>
    <w:qFormat/>
    <w:rsid w:val="006A451C"/>
    <w:rPr>
      <w:i/>
      <w:iCs/>
      <w:color w:val="0F4761" w:themeColor="accent1" w:themeShade="BF"/>
    </w:rPr>
  </w:style>
  <w:style w:type="paragraph" w:styleId="Iskirtacitata">
    <w:name w:val="Intense Quote"/>
    <w:basedOn w:val="prastasis"/>
    <w:next w:val="prastasis"/>
    <w:link w:val="IskirtacitataDiagrama"/>
    <w:uiPriority w:val="30"/>
    <w:qFormat/>
    <w:rsid w:val="006A4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451C"/>
    <w:rPr>
      <w:i/>
      <w:iCs/>
      <w:color w:val="0F4761" w:themeColor="accent1" w:themeShade="BF"/>
    </w:rPr>
  </w:style>
  <w:style w:type="character" w:styleId="Rykinuoroda">
    <w:name w:val="Intense Reference"/>
    <w:basedOn w:val="Numatytasispastraiposriftas"/>
    <w:uiPriority w:val="32"/>
    <w:qFormat/>
    <w:rsid w:val="006A451C"/>
    <w:rPr>
      <w:b/>
      <w:bCs/>
      <w:smallCaps/>
      <w:color w:val="0F4761" w:themeColor="accent1" w:themeShade="BF"/>
      <w:spacing w:val="5"/>
    </w:rPr>
  </w:style>
  <w:style w:type="paragraph" w:styleId="prastasiniatinklio">
    <w:name w:val="Normal (Web)"/>
    <w:basedOn w:val="prastasis"/>
    <w:uiPriority w:val="99"/>
    <w:semiHidden/>
    <w:unhideWhenUsed/>
    <w:rsid w:val="006A451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Antrats">
    <w:name w:val="header"/>
    <w:basedOn w:val="prastasis"/>
    <w:link w:val="AntratsDiagrama"/>
    <w:uiPriority w:val="99"/>
    <w:unhideWhenUsed/>
    <w:rsid w:val="006A451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A451C"/>
  </w:style>
  <w:style w:type="paragraph" w:styleId="Porat">
    <w:name w:val="footer"/>
    <w:basedOn w:val="prastasis"/>
    <w:link w:val="PoratDiagrama"/>
    <w:uiPriority w:val="99"/>
    <w:unhideWhenUsed/>
    <w:rsid w:val="006A451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A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3550</Characters>
  <Application>Microsoft Office Word</Application>
  <DocSecurity>0</DocSecurity>
  <Lines>66</Lines>
  <Paragraphs>31</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1</cp:revision>
  <dcterms:created xsi:type="dcterms:W3CDTF">2025-01-08T12:20:00Z</dcterms:created>
  <dcterms:modified xsi:type="dcterms:W3CDTF">2025-01-08T12:22:00Z</dcterms:modified>
</cp:coreProperties>
</file>