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B3CC" w14:textId="0AD101E2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1.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Aptamero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, jungiančio ligandą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eukariotinėse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ląstelėse, parinkimo būdas, apimantis šiuos etapus:</w:t>
      </w:r>
    </w:p>
    <w:p w14:paraId="3BD86FE0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(a)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bibliotekos pateikimas,</w:t>
      </w:r>
    </w:p>
    <w:p w14:paraId="7948CB40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bibliotekos elementų įvedimas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kasetę, skirtą reporterinio geno ekspresijai tarpininkaujant ligandui, siekiant sukurti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biblioteką,</w:t>
      </w:r>
    </w:p>
    <w:p w14:paraId="78AA3F25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(c)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bibliotekos įvedimas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eukariotines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ląsteles ir</w:t>
      </w:r>
    </w:p>
    <w:p w14:paraId="36457A09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(d)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ląstelių kontaktavimas su ligandu ir</w:t>
      </w:r>
    </w:p>
    <w:p w14:paraId="22676E08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(e) reporterinio geno ekspresijos matavimas,</w:t>
      </w:r>
    </w:p>
    <w:p w14:paraId="2239EF01" w14:textId="77777777" w:rsidR="00A04494" w:rsidRPr="00046EDC" w:rsidRDefault="00B14610" w:rsidP="00046EDC">
      <w:pPr>
        <w:spacing w:after="0" w:line="360" w:lineRule="auto"/>
        <w:jc w:val="both"/>
        <w:rPr>
          <w:rFonts w:ascii="Helvetica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kasetė apima alternatyviai sujungtą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apgaubtą 5'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intronu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intronu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ir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ribojungiklį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apimantį (i)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efektoriaus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sritį, kuri apima kamieną su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seka ir seka,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komplementaria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sekai, ir (ii)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esantį tarp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sekos ir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komplementarios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sekos, kur alternatyviai sujungtas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apima stop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kodoną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kuris yra rėmelyje su reporteriniu genu, kai alternatyviai sujungtas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yra sujungtas į reporterinio geno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mRNR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.</w:t>
      </w:r>
    </w:p>
    <w:p w14:paraId="74F4FCAC" w14:textId="087AEE7A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58E5588" w14:textId="22DCB791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2.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Būdas pagal 1 punktą, 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biblioteka yra padalinta į mažesnę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biblioteką prieš įvedant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kasetes, apimantis šiuos etapus:</w:t>
      </w:r>
    </w:p>
    <w:p w14:paraId="707436C4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(a) atsitiktinių imčių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bibliotekos sudarymas, kur bibliotekos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aptamerai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apima daug 5' ir 3' pastovių sričių ir vieną ar daugiau atsitiktinių imčių nukleotidų,</w:t>
      </w:r>
    </w:p>
    <w:p w14:paraId="356600DA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dviejų ciklų PGR atlikimas, naudojant atsitiktinių imčių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biblioteką kaip šabloną ir pirmąjį pradmenį bei antrąjį pradmenį, kurie yra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komplementarūs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 ir 3' pastovioms sritims,</w:t>
      </w:r>
    </w:p>
    <w:p w14:paraId="253B8A95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(c) dviejų ciklų PGR produktų išskyrimas ir</w:t>
      </w:r>
    </w:p>
    <w:p w14:paraId="7840325E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(d) PGR,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amplifikuojantis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dviejų ciklų PGR išskirtų produktų pogrupį, naudojant pradmenis, kurie yra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komplementarūs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unikalių 5' ir 3' pastovių sričių pogrupiams.</w:t>
      </w:r>
    </w:p>
    <w:p w14:paraId="51D941D9" w14:textId="1DF94F92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16C00BDC" w14:textId="0CCFE10C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3.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Būdas pagal 1 arba 2 punktą, kur prieš įvedant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eukariotines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ląsteles,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biblioteka yra padalinta į vieną arba daugiau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subbibliotekų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, pasirinktinai, 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biblioteka yra padalinta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subbibliotekas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, apimant šiuos etapus:</w:t>
      </w:r>
    </w:p>
    <w:p w14:paraId="6093AB38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(a)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bibliotekos įvedimas į bakterijas;</w:t>
      </w:r>
    </w:p>
    <w:p w14:paraId="1C1C7B4E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bakterijų klonų surinkimas ir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plazmidinės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DNR išgavimas, siekiant gauti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plazmidžių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subbibliotekas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kad būtų sukurta viena ar daugiau pirminių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subbibliotekų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;</w:t>
      </w:r>
    </w:p>
    <w:p w14:paraId="0BB331C3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(c) pasirinktinis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antrinių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subbibliotekų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generavimas iš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pirminės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plazmidžių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subbibliotekos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įvedant pirminę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subbiblioteką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į bakterijas, surenkant bakterijų klonus ir išskiriant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plazmidės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DNR.</w:t>
      </w:r>
    </w:p>
    <w:p w14:paraId="7488B1D2" w14:textId="3D3F3861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3B1AB708" w14:textId="5A0642D8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4.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Ligando, jungiančio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aptamerą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eukariotinėje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ląstelėje, parinkimo būdas, apimantis šiuos etapus:</w:t>
      </w:r>
    </w:p>
    <w:p w14:paraId="0AEC7D8F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(a) ligandų bibliotekos pateikimas,</w:t>
      </w:r>
    </w:p>
    <w:p w14:paraId="2D998DA6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kasetės pateikimas, siekiant reporterinio geno ekspresijos tarpininkaujant ligandui,</w:t>
      </w:r>
    </w:p>
    <w:p w14:paraId="76DBE3B5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(c)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kasetės įvedimas į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eukariotinę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ląstelę,</w:t>
      </w:r>
    </w:p>
    <w:p w14:paraId="6CBB7EC1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(d) atskirų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ląstelės grupių kontaktavimas su ligandų bibliotekos elementais ir</w:t>
      </w:r>
    </w:p>
    <w:p w14:paraId="6FFA9072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(e) reporterinio geno ekspresijos matavimas,</w:t>
      </w:r>
    </w:p>
    <w:p w14:paraId="028115B7" w14:textId="77777777" w:rsidR="00A04494" w:rsidRPr="00046EDC" w:rsidRDefault="00B14610" w:rsidP="00046EDC">
      <w:pPr>
        <w:spacing w:after="0" w:line="360" w:lineRule="auto"/>
        <w:jc w:val="both"/>
        <w:rPr>
          <w:rFonts w:ascii="Helvetica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polinukleotidų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kasetė apima alternatyviai sujungtą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apgaubtą 5'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intronu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intronu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ir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ribojungiklį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apimantį (i)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efektoriaus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sritį, kuri apima kamieną su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seka ir seka,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komplementaria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sekai, ir (ii)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esantį tarp 3'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5' sujungimo vietos sekos ir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komplementarios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sekos, kur alternatyviai sujungtas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apima stop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kodoną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kuris yra rėmelyje su reporteriniu genu, kai alternatyviai sujungtas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yra sujungtas į reporterinio geno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mRNR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.</w:t>
      </w:r>
    </w:p>
    <w:p w14:paraId="7A8459A0" w14:textId="0E360B38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426F44D6" w14:textId="304CD28C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5.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Būdas pagal bet kurį iš 1, 3 arba 4 punktų, kur ligandas yra</w:t>
      </w:r>
    </w:p>
    <w:p w14:paraId="41B0AD5E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(a) maža molekulė arba</w:t>
      </w:r>
    </w:p>
    <w:p w14:paraId="31F7D102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molekulė, kurią gamina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eukariotinė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ląstelė, parinkta iš grupės, sudarytos iš metabolito, nukleorūgšties, vitamino,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kofaktoriaus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lipido,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monosacharido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antrojo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pernešiklio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.</w:t>
      </w:r>
    </w:p>
    <w:p w14:paraId="0B19F5BF" w14:textId="5152EB5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0F2D078B" w14:textId="3D67C73B" w:rsidR="00A04494" w:rsidRPr="00046EDC" w:rsidRDefault="00B14610" w:rsidP="00046EDC">
      <w:pPr>
        <w:spacing w:after="0" w:line="360" w:lineRule="auto"/>
        <w:ind w:firstLine="567"/>
        <w:jc w:val="both"/>
        <w:rPr>
          <w:rFonts w:ascii="Helvetica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6.</w:t>
      </w:r>
      <w:r w:rsidR="00046EDC"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</w:rPr>
        <w:t xml:space="preserve">Būdas pagal bet kurį iš 1, 3 arba 4 punktų, 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eukariotinė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ląstelė yra parinkta iš grupės, sudarytos iš žinduolio ląstelės, vabzdžio ląstelės, augalo ląstelės ir mielės ląstelės.</w:t>
      </w:r>
    </w:p>
    <w:p w14:paraId="7DF566D1" w14:textId="15043D39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4A76563D" w14:textId="3BDC7F16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7.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Būdas pagal bet kurį iš 1, 3 arba 4 punktų, kur reporterinis genas yra parinktas iš grupės, sudarytos iš</w:t>
      </w:r>
    </w:p>
    <w:p w14:paraId="38D734CF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(a) fluorescencinio baltymo,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liuciferazės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β-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galaktozidazės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krienų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peroksidazės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arba</w:t>
      </w:r>
    </w:p>
    <w:p w14:paraId="3311AA17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(b)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citokino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, signalinės molekulės, augimo hormono, antikūno, reguliuojančios RNR, terapinio baltymo arba peptido.</w:t>
      </w:r>
    </w:p>
    <w:p w14:paraId="47B6F35F" w14:textId="20874386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50A35422" w14:textId="0B32377C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8.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Būdas pagal bet kurį iš 1, 3 arba 4 punktų, kur 5’ ir 3’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intronai</w:t>
      </w:r>
      <w:proofErr w:type="spellEnd"/>
    </w:p>
    <w:p w14:paraId="24DF8747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(a) gaunami iš žmogaus β-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globino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geno 2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introno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;</w:t>
      </w:r>
    </w:p>
    <w:p w14:paraId="2E5569FD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(b) kiekvienas nepriklausomai yra nuo 50 iki 300 nukleotidų ilgio arba</w:t>
      </w:r>
    </w:p>
    <w:p w14:paraId="1DCFD56C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(c) kiekvienas nepriklausomai yra nuo 125 iki 240 nukleotidų ilgio.</w:t>
      </w:r>
    </w:p>
    <w:p w14:paraId="493B40CA" w14:textId="27912DDA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013153D6" w14:textId="10D71D71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9.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Būdas pagal bet kurį iš 1, 3 arba 4 punktų, 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efektoriaus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srities kamienas yra</w:t>
      </w:r>
    </w:p>
    <w:p w14:paraId="5C69F309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(a) 7–20 bazių porų ilgio arba</w:t>
      </w:r>
    </w:p>
    <w:p w14:paraId="679D863F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(b) 8–11 bazių porų ilgio.</w:t>
      </w:r>
    </w:p>
    <w:p w14:paraId="21340C5C" w14:textId="186FDBF8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64CAE75B" w14:textId="04FDD20C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10.</w:t>
      </w:r>
      <w:r w:rsidR="00046EDC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</w:rPr>
        <w:t xml:space="preserve">Būdas pagal bet kurį iš 1, 3 arba 4 punktų, kur alternatyviai sujungtas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</w:p>
    <w:p w14:paraId="571A8844" w14:textId="2C0F23C5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(a) yra gautas iš grupės, kurią sudaro žmogaus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dihidrofolato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reduktazės (DHFR) geno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 2,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mutavusio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žmogaus </w:t>
      </w:r>
      <w:proofErr w:type="spellStart"/>
      <w:r w:rsidR="00876568">
        <w:rPr>
          <w:rFonts w:ascii="Helvetica" w:hAnsi="Helvetica" w:cs="Arial"/>
          <w:kern w:val="0"/>
          <w:sz w:val="20"/>
          <w:szCs w:val="24"/>
        </w:rPr>
        <w:t>V</w:t>
      </w:r>
      <w:r w:rsidRPr="00046EDC">
        <w:rPr>
          <w:rFonts w:ascii="Helvetica" w:hAnsi="Helvetica" w:cs="Arial"/>
          <w:kern w:val="0"/>
          <w:sz w:val="20"/>
          <w:szCs w:val="24"/>
        </w:rPr>
        <w:t>ilmso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1 naviko 5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pelės nuo kalcio /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kalmodulino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priklausančios baltymų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kinazės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 II delta 16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SIRT1 6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;</w:t>
      </w:r>
    </w:p>
    <w:p w14:paraId="2FEA7C5C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(b) yra modifikuotas 2 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egzonas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iš žmogaus DHFR;</w:t>
      </w:r>
    </w:p>
    <w:p w14:paraId="51B19F3A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(c) nėra gautas iš natūraliai aptinkamo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arba</w:t>
      </w:r>
    </w:p>
    <w:p w14:paraId="26364AB0" w14:textId="77777777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 xml:space="preserve">(d) apima vieną ar daugiau grupių, sudarytų iš pakeisto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sujungimo stiprintojo, pakeisto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sujungimo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slopiklio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, pridėto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sujungimo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stipriklio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ir pridėto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egzono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sujungimo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slopiklio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>.</w:t>
      </w:r>
    </w:p>
    <w:p w14:paraId="0BDC1AE2" w14:textId="03A22839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2A79C3B" w14:textId="06F517E4" w:rsidR="00A04494" w:rsidRPr="00046EDC" w:rsidRDefault="00B14610" w:rsidP="00046EDC">
      <w:pPr>
        <w:spacing w:after="0" w:line="360" w:lineRule="auto"/>
        <w:ind w:firstLine="567"/>
        <w:jc w:val="both"/>
        <w:rPr>
          <w:rFonts w:ascii="Helvetica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11.</w:t>
      </w:r>
      <w:r w:rsidR="00046EDC"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</w:rPr>
        <w:t xml:space="preserve">Būdas pagal 1 arba 3 punktą, kur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aptamerų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biblioteka apima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</w:rPr>
        <w:t>aptamerus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</w:rPr>
        <w:t xml:space="preserve"> su vienu arba daugiau atsitiktinių imčių nukleotidų.</w:t>
      </w:r>
    </w:p>
    <w:p w14:paraId="15FFF485" w14:textId="377321B4" w:rsidR="00B14610" w:rsidRPr="00046EDC" w:rsidRDefault="00B14610" w:rsidP="00046ED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1754506F" w14:textId="0B6F246A" w:rsidR="00B14610" w:rsidRPr="00046EDC" w:rsidRDefault="00B14610" w:rsidP="00046EDC">
      <w:pPr>
        <w:spacing w:after="0" w:line="360" w:lineRule="auto"/>
        <w:ind w:firstLine="567"/>
        <w:jc w:val="both"/>
        <w:rPr>
          <w:rFonts w:ascii="Helvetica" w:hAnsi="Helvetica" w:cs="Arial"/>
          <w:kern w:val="0"/>
          <w:sz w:val="20"/>
          <w:szCs w:val="24"/>
          <w14:ligatures w14:val="none"/>
        </w:rPr>
      </w:pPr>
      <w:r w:rsidRPr="00046EDC">
        <w:rPr>
          <w:rFonts w:ascii="Helvetica" w:hAnsi="Helvetica" w:cs="Arial"/>
          <w:kern w:val="0"/>
          <w:sz w:val="20"/>
          <w:szCs w:val="24"/>
        </w:rPr>
        <w:t>12.</w:t>
      </w:r>
      <w:r w:rsidR="00727113" w:rsidRPr="00046EDC">
        <w:rPr>
          <w:rFonts w:ascii="Helvetica" w:hAnsi="Helvetica" w:cs="Arial"/>
          <w:kern w:val="0"/>
          <w:sz w:val="20"/>
          <w:szCs w:val="24"/>
        </w:rPr>
        <w:t xml:space="preserve"> </w:t>
      </w:r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Būdas pagal 2 arba 3 punktą, kur pirmasis arba antrasis pradmuo dviejų ciklų PGR apima žymę, parinktą iš grupės, sudarytos iš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biotino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digoksigenino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(DIG),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bromodeoksiuridino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(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BrdU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), 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fluoroforo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 xml:space="preserve"> ir cheminės grupės, naudojamos „</w:t>
      </w:r>
      <w:proofErr w:type="spellStart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click</w:t>
      </w:r>
      <w:proofErr w:type="spellEnd"/>
      <w:r w:rsidRPr="00046EDC">
        <w:rPr>
          <w:rFonts w:ascii="Helvetica" w:hAnsi="Helvetica" w:cs="Arial"/>
          <w:kern w:val="0"/>
          <w:sz w:val="20"/>
          <w:szCs w:val="24"/>
          <w14:ligatures w14:val="none"/>
        </w:rPr>
        <w:t>“ chemijoje</w:t>
      </w:r>
      <w:r w:rsidR="00016164" w:rsidRPr="00046EDC">
        <w:rPr>
          <w:rFonts w:ascii="Helvetica" w:hAnsi="Helvetica" w:cs="Arial"/>
          <w:kern w:val="0"/>
          <w:sz w:val="20"/>
          <w:szCs w:val="24"/>
          <w14:ligatures w14:val="none"/>
        </w:rPr>
        <w:t>.</w:t>
      </w:r>
    </w:p>
    <w:sectPr w:rsidR="00B14610" w:rsidRPr="00046EDC" w:rsidSect="00697A0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9105" w14:textId="77777777" w:rsidR="00697A08" w:rsidRDefault="00697A08" w:rsidP="00555945">
      <w:pPr>
        <w:spacing w:after="0" w:line="240" w:lineRule="auto"/>
      </w:pPr>
      <w:r>
        <w:separator/>
      </w:r>
    </w:p>
  </w:endnote>
  <w:endnote w:type="continuationSeparator" w:id="0">
    <w:p w14:paraId="57F3CC1D" w14:textId="77777777" w:rsidR="00697A08" w:rsidRDefault="00697A08" w:rsidP="005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F87E" w14:textId="77777777" w:rsidR="00697A08" w:rsidRDefault="00697A08" w:rsidP="00555945">
      <w:pPr>
        <w:spacing w:after="0" w:line="240" w:lineRule="auto"/>
      </w:pPr>
      <w:r>
        <w:separator/>
      </w:r>
    </w:p>
  </w:footnote>
  <w:footnote w:type="continuationSeparator" w:id="0">
    <w:p w14:paraId="1A3BF878" w14:textId="77777777" w:rsidR="00697A08" w:rsidRDefault="00697A08" w:rsidP="0055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A5"/>
    <w:rsid w:val="00016164"/>
    <w:rsid w:val="00016655"/>
    <w:rsid w:val="00046EDC"/>
    <w:rsid w:val="0017589F"/>
    <w:rsid w:val="003D4160"/>
    <w:rsid w:val="00555945"/>
    <w:rsid w:val="00566C14"/>
    <w:rsid w:val="005D0617"/>
    <w:rsid w:val="00616992"/>
    <w:rsid w:val="00624A1E"/>
    <w:rsid w:val="00697A08"/>
    <w:rsid w:val="00727113"/>
    <w:rsid w:val="00876568"/>
    <w:rsid w:val="008905E2"/>
    <w:rsid w:val="009A31A3"/>
    <w:rsid w:val="00A04494"/>
    <w:rsid w:val="00B14610"/>
    <w:rsid w:val="00B650A5"/>
    <w:rsid w:val="00B80FFE"/>
    <w:rsid w:val="00CC64E6"/>
    <w:rsid w:val="00D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44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B14610"/>
  </w:style>
  <w:style w:type="paragraph" w:customStyle="1" w:styleId="dec">
    <w:name w:val="dec"/>
    <w:basedOn w:val="prastasis"/>
    <w:rsid w:val="00B1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5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945"/>
  </w:style>
  <w:style w:type="paragraph" w:styleId="Porat">
    <w:name w:val="footer"/>
    <w:basedOn w:val="prastasis"/>
    <w:link w:val="PoratDiagrama"/>
    <w:uiPriority w:val="99"/>
    <w:unhideWhenUsed/>
    <w:rsid w:val="0055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2024-01-24T09:14:00Z</dcterms:created>
  <dcterms:modified xsi:type="dcterms:W3CDTF">2024-01-31T11:12:00Z</dcterms:modified>
</cp:coreProperties>
</file>