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19F" w14:textId="51FC220A" w:rsidR="00782B1A"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1.</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nutukimo gydymo būd</w:t>
      </w:r>
      <w:r w:rsidR="00782B1A" w:rsidRPr="003951B6">
        <w:rPr>
          <w:rFonts w:ascii="Helvetica" w:eastAsia="Times New Roman" w:hAnsi="Helvetica" w:cs="Arial"/>
          <w:sz w:val="20"/>
          <w:szCs w:val="24"/>
          <w:lang w:eastAsia="lt-LT"/>
        </w:rPr>
        <w:t>ui</w:t>
      </w:r>
      <w:r w:rsidRPr="003951B6">
        <w:rPr>
          <w:rFonts w:ascii="Helvetica" w:eastAsia="Times New Roman" w:hAnsi="Helvetica" w:cs="Arial"/>
          <w:sz w:val="20"/>
          <w:szCs w:val="24"/>
          <w:lang w:eastAsia="lt-LT"/>
        </w:rPr>
        <w:t xml:space="preserve">, kur peptidas apima </w:t>
      </w:r>
      <w:r w:rsidR="00782B1A" w:rsidRPr="003951B6">
        <w:rPr>
          <w:rFonts w:ascii="Helvetica" w:eastAsia="Times New Roman" w:hAnsi="Helvetica" w:cs="Arial"/>
          <w:sz w:val="20"/>
          <w:szCs w:val="24"/>
          <w:lang w:eastAsia="lt-LT"/>
        </w:rPr>
        <w:t>aminorūgščių seką:</w:t>
      </w:r>
    </w:p>
    <w:p w14:paraId="50B2C527" w14:textId="77777777" w:rsidR="008B501D" w:rsidRPr="003951B6" w:rsidRDefault="008B501D" w:rsidP="003951B6">
      <w:pPr>
        <w:spacing w:after="0" w:line="360" w:lineRule="auto"/>
        <w:ind w:firstLine="567"/>
        <w:jc w:val="both"/>
        <w:rPr>
          <w:rFonts w:ascii="Helvetica" w:eastAsia="Times New Roman" w:hAnsi="Helvetica" w:cs="Arial"/>
          <w:sz w:val="20"/>
          <w:szCs w:val="24"/>
          <w:lang w:eastAsia="lt-LT"/>
        </w:rPr>
      </w:pPr>
    </w:p>
    <w:p w14:paraId="36544059" w14:textId="77777777" w:rsidR="003951B6" w:rsidRPr="003951B6" w:rsidRDefault="00464C51" w:rsidP="003951B6">
      <w:pPr>
        <w:spacing w:after="0" w:line="360" w:lineRule="auto"/>
        <w:jc w:val="center"/>
        <w:rPr>
          <w:rFonts w:ascii="Helvetica" w:eastAsia="Times New Roman" w:hAnsi="Helvetica" w:cs="Arial"/>
          <w:sz w:val="20"/>
          <w:szCs w:val="24"/>
          <w:lang w:eastAsia="lt-LT"/>
        </w:rPr>
      </w:pPr>
      <w:r w:rsidRPr="003951B6">
        <w:rPr>
          <w:rFonts w:ascii="Helvetica" w:eastAsia="Times New Roman" w:hAnsi="Helvetica" w:cs="Arial"/>
          <w:noProof/>
          <w:sz w:val="20"/>
          <w:szCs w:val="24"/>
          <w:lang w:eastAsia="lt-LT"/>
        </w:rPr>
        <w:drawing>
          <wp:inline distT="0" distB="0" distL="0" distR="0" wp14:anchorId="065268A6" wp14:editId="05ACD1E0">
            <wp:extent cx="5912957"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1381" cy="562776"/>
                    </a:xfrm>
                    <a:prstGeom prst="rect">
                      <a:avLst/>
                    </a:prstGeom>
                    <a:noFill/>
                    <a:ln>
                      <a:noFill/>
                    </a:ln>
                  </pic:spPr>
                </pic:pic>
              </a:graphicData>
            </a:graphic>
          </wp:inline>
        </w:drawing>
      </w:r>
    </w:p>
    <w:p w14:paraId="0DD46A14" w14:textId="77777777" w:rsidR="008B501D" w:rsidRDefault="008B501D" w:rsidP="003951B6">
      <w:pPr>
        <w:spacing w:after="0" w:line="360" w:lineRule="auto"/>
        <w:jc w:val="both"/>
        <w:rPr>
          <w:rFonts w:ascii="Helvetica" w:eastAsia="Times New Roman" w:hAnsi="Helvetica" w:cs="Arial"/>
          <w:sz w:val="20"/>
          <w:szCs w:val="24"/>
          <w:lang w:eastAsia="lt-LT"/>
        </w:rPr>
      </w:pPr>
    </w:p>
    <w:p w14:paraId="4928F8E4" w14:textId="75425C1B" w:rsidR="00D634BF" w:rsidRPr="003951B6" w:rsidRDefault="00464C51" w:rsidP="003951B6">
      <w:pPr>
        <w:spacing w:after="0" w:line="360" w:lineRule="auto"/>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 xml:space="preserve">kur X2 yra G arba S, X10 yra K, X12 yra K, E, R arba S, X13 yra K arba Y, X15 yra D arba E, X16 yra S arba G, X17 yra E, R, Q arba K, X18 yra R, S arba A, X20 yra R, K arba Q, X21 yra D arba E, X23 yra V arba I, X24 yra A arba Q, X27 yra E arba V, X28 yra A arba K ir X30 yra G arba R (SEQ ID Nr. 4), kur lizino liekana ties X10 yra </w:t>
      </w:r>
      <w:r w:rsidR="00D634BF" w:rsidRPr="003951B6">
        <w:rPr>
          <w:rFonts w:ascii="Helvetica" w:eastAsia="Times New Roman" w:hAnsi="Helvetica" w:cs="Arial"/>
          <w:sz w:val="20"/>
          <w:szCs w:val="24"/>
          <w:lang w:eastAsia="lt-LT"/>
        </w:rPr>
        <w:t xml:space="preserve">modifikuota palmitoilo dalies pridėjimu </w:t>
      </w:r>
      <w:r w:rsidR="00546047" w:rsidRPr="003951B6">
        <w:rPr>
          <w:rFonts w:ascii="Helvetica" w:eastAsia="Times New Roman" w:hAnsi="Helvetica" w:cs="Arial"/>
          <w:sz w:val="20"/>
          <w:szCs w:val="24"/>
          <w:lang w:eastAsia="lt-LT"/>
        </w:rPr>
        <w:t>prie</w:t>
      </w:r>
      <w:r w:rsidR="00D634BF" w:rsidRPr="003951B6">
        <w:rPr>
          <w:rFonts w:ascii="Helvetica" w:eastAsia="Times New Roman" w:hAnsi="Helvetica" w:cs="Arial"/>
          <w:sz w:val="20"/>
          <w:szCs w:val="24"/>
          <w:lang w:eastAsia="lt-LT"/>
        </w:rPr>
        <w:t xml:space="preserve"> lizino liekanos (N)epsilon grup</w:t>
      </w:r>
      <w:r w:rsidR="00546047" w:rsidRPr="003951B6">
        <w:rPr>
          <w:rFonts w:ascii="Helvetica" w:eastAsia="Times New Roman" w:hAnsi="Helvetica" w:cs="Arial"/>
          <w:sz w:val="20"/>
          <w:szCs w:val="24"/>
          <w:lang w:eastAsia="lt-LT"/>
        </w:rPr>
        <w:t>ės</w:t>
      </w:r>
      <w:r w:rsidR="00D634BF" w:rsidRPr="003951B6">
        <w:rPr>
          <w:rFonts w:ascii="Helvetica" w:eastAsia="Times New Roman" w:hAnsi="Helvetica" w:cs="Arial"/>
          <w:sz w:val="20"/>
          <w:szCs w:val="24"/>
          <w:lang w:eastAsia="lt-LT"/>
        </w:rPr>
        <w:t>.</w:t>
      </w:r>
    </w:p>
    <w:p w14:paraId="1236E027" w14:textId="1CAFD9EE" w:rsidR="00464C51" w:rsidRPr="003951B6" w:rsidRDefault="00464C51" w:rsidP="003951B6">
      <w:pPr>
        <w:spacing w:after="0" w:line="360" w:lineRule="auto"/>
        <w:jc w:val="both"/>
        <w:rPr>
          <w:rFonts w:ascii="Helvetica" w:eastAsia="Times New Roman" w:hAnsi="Helvetica" w:cs="Arial"/>
          <w:sz w:val="20"/>
          <w:szCs w:val="24"/>
          <w:lang w:eastAsia="lt-LT"/>
        </w:rPr>
      </w:pPr>
    </w:p>
    <w:p w14:paraId="5765FD28" w14:textId="7D0676AB" w:rsidR="00D634BF"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2.</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w:t>
      </w:r>
      <w:r w:rsidR="00D634BF" w:rsidRPr="003951B6">
        <w:rPr>
          <w:rFonts w:ascii="Helvetica" w:eastAsia="Times New Roman" w:hAnsi="Helvetica" w:cs="Arial"/>
          <w:sz w:val="20"/>
          <w:szCs w:val="24"/>
          <w:lang w:eastAsia="lt-LT"/>
        </w:rPr>
        <w:t>ti</w:t>
      </w:r>
      <w:r w:rsidRPr="003951B6">
        <w:rPr>
          <w:rFonts w:ascii="Helvetica" w:eastAsia="Times New Roman" w:hAnsi="Helvetica" w:cs="Arial"/>
          <w:sz w:val="20"/>
          <w:szCs w:val="24"/>
          <w:lang w:eastAsia="lt-LT"/>
        </w:rPr>
        <w:t xml:space="preserve"> pagal 1 punktą, kur palmitoilo grupė yra </w:t>
      </w:r>
      <w:r w:rsidR="00D634BF" w:rsidRPr="003951B6">
        <w:rPr>
          <w:rFonts w:ascii="Helvetica" w:eastAsia="Times New Roman" w:hAnsi="Helvetica" w:cs="Arial"/>
          <w:sz w:val="20"/>
          <w:szCs w:val="24"/>
          <w:lang w:eastAsia="lt-LT"/>
        </w:rPr>
        <w:t>prijungta prie lizino per jungtuką.</w:t>
      </w:r>
    </w:p>
    <w:p w14:paraId="1FADDE4E"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187D8658" w14:textId="77777777" w:rsidR="003951B6"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3.</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pagal 2 punktą, kur jungt</w:t>
      </w:r>
      <w:r w:rsidR="00D634BF" w:rsidRPr="003951B6">
        <w:rPr>
          <w:rFonts w:ascii="Helvetica" w:eastAsia="Times New Roman" w:hAnsi="Helvetica" w:cs="Arial"/>
          <w:sz w:val="20"/>
          <w:szCs w:val="24"/>
          <w:lang w:eastAsia="lt-LT"/>
        </w:rPr>
        <w:t>ukas</w:t>
      </w:r>
      <w:r w:rsidRPr="003951B6">
        <w:rPr>
          <w:rFonts w:ascii="Helvetica" w:eastAsia="Times New Roman" w:hAnsi="Helvetica" w:cs="Arial"/>
          <w:sz w:val="20"/>
          <w:szCs w:val="24"/>
          <w:lang w:eastAsia="lt-LT"/>
        </w:rPr>
        <w:t xml:space="preserve"> yra gama glutamatas.</w:t>
      </w:r>
    </w:p>
    <w:p w14:paraId="2FC70524"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065BFFF5" w14:textId="52EFDC6E" w:rsidR="00671557"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4.</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 xml:space="preserve">Išskirtas peptidas, skirtas naudoti pagal bet kurį ankstesnį punktą, kur peptidas jungiasi prie gliukagono receptoriaus, jungiasi prie GLP-1 receptoriaus arba jungiasi ir </w:t>
      </w:r>
      <w:r w:rsidR="00671557" w:rsidRPr="003951B6">
        <w:rPr>
          <w:rFonts w:ascii="Helvetica" w:eastAsia="Times New Roman" w:hAnsi="Helvetica" w:cs="Arial"/>
          <w:sz w:val="20"/>
          <w:szCs w:val="24"/>
          <w:lang w:eastAsia="lt-LT"/>
        </w:rPr>
        <w:t>prie gliukagono, ir prie GLP-1 receptoriaus.</w:t>
      </w:r>
    </w:p>
    <w:p w14:paraId="232B20A9"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002C12A6" w14:textId="16ADB160" w:rsidR="00671557"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5.</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pagal bet kurį</w:t>
      </w:r>
      <w:r w:rsidR="00671557" w:rsidRPr="003951B6">
        <w:rPr>
          <w:rFonts w:ascii="Helvetica" w:eastAsia="Times New Roman" w:hAnsi="Helvetica" w:cs="Arial"/>
          <w:sz w:val="20"/>
          <w:szCs w:val="24"/>
          <w:lang w:eastAsia="lt-LT"/>
        </w:rPr>
        <w:t xml:space="preserve"> iš</w:t>
      </w:r>
      <w:r w:rsidRPr="003951B6">
        <w:rPr>
          <w:rFonts w:ascii="Helvetica" w:eastAsia="Times New Roman" w:hAnsi="Helvetica" w:cs="Arial"/>
          <w:sz w:val="20"/>
          <w:szCs w:val="24"/>
          <w:lang w:eastAsia="lt-LT"/>
        </w:rPr>
        <w:t xml:space="preserve"> 1-4 punkt</w:t>
      </w:r>
      <w:r w:rsidR="00671557" w:rsidRPr="003951B6">
        <w:rPr>
          <w:rFonts w:ascii="Helvetica" w:eastAsia="Times New Roman" w:hAnsi="Helvetica" w:cs="Arial"/>
          <w:sz w:val="20"/>
          <w:szCs w:val="24"/>
          <w:lang w:eastAsia="lt-LT"/>
        </w:rPr>
        <w:t>ų</w:t>
      </w:r>
      <w:r w:rsidRPr="003951B6">
        <w:rPr>
          <w:rFonts w:ascii="Helvetica" w:eastAsia="Times New Roman" w:hAnsi="Helvetica" w:cs="Arial"/>
          <w:sz w:val="20"/>
          <w:szCs w:val="24"/>
          <w:lang w:eastAsia="lt-LT"/>
        </w:rPr>
        <w:t xml:space="preserve">, kuris jungiasi prie </w:t>
      </w:r>
      <w:r w:rsidR="00671557" w:rsidRPr="003951B6">
        <w:rPr>
          <w:rFonts w:ascii="Helvetica" w:eastAsia="Times New Roman" w:hAnsi="Helvetica" w:cs="Arial"/>
          <w:sz w:val="20"/>
          <w:szCs w:val="24"/>
          <w:lang w:eastAsia="lt-LT"/>
        </w:rPr>
        <w:t>gliukagono receptoriaus.</w:t>
      </w:r>
    </w:p>
    <w:p w14:paraId="1B840539"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6C5662A6" w14:textId="69970A5E" w:rsidR="00CD1811"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6.</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pagal bet kurį</w:t>
      </w:r>
      <w:r w:rsidR="00671557" w:rsidRPr="003951B6">
        <w:rPr>
          <w:rFonts w:ascii="Helvetica" w:eastAsia="Times New Roman" w:hAnsi="Helvetica" w:cs="Arial"/>
          <w:sz w:val="20"/>
          <w:szCs w:val="24"/>
          <w:lang w:eastAsia="lt-LT"/>
        </w:rPr>
        <w:t xml:space="preserve"> iš</w:t>
      </w:r>
      <w:r w:rsidRPr="003951B6">
        <w:rPr>
          <w:rFonts w:ascii="Helvetica" w:eastAsia="Times New Roman" w:hAnsi="Helvetica" w:cs="Arial"/>
          <w:sz w:val="20"/>
          <w:szCs w:val="24"/>
          <w:lang w:eastAsia="lt-LT"/>
        </w:rPr>
        <w:t xml:space="preserve"> 1-5 punkt</w:t>
      </w:r>
      <w:r w:rsidR="00671557" w:rsidRPr="003951B6">
        <w:rPr>
          <w:rFonts w:ascii="Helvetica" w:eastAsia="Times New Roman" w:hAnsi="Helvetica" w:cs="Arial"/>
          <w:sz w:val="20"/>
          <w:szCs w:val="24"/>
          <w:lang w:eastAsia="lt-LT"/>
        </w:rPr>
        <w:t>ų</w:t>
      </w:r>
      <w:r w:rsidRPr="003951B6">
        <w:rPr>
          <w:rFonts w:ascii="Helvetica" w:eastAsia="Times New Roman" w:hAnsi="Helvetica" w:cs="Arial"/>
          <w:sz w:val="20"/>
          <w:szCs w:val="24"/>
          <w:lang w:eastAsia="lt-LT"/>
        </w:rPr>
        <w:t xml:space="preserve">, kur X30 karboksilo </w:t>
      </w:r>
      <w:r w:rsidR="00CD1811" w:rsidRPr="003951B6">
        <w:rPr>
          <w:rFonts w:ascii="Helvetica" w:eastAsia="Times New Roman" w:hAnsi="Helvetica" w:cs="Arial"/>
          <w:sz w:val="20"/>
          <w:szCs w:val="24"/>
          <w:lang w:eastAsia="lt-LT"/>
        </w:rPr>
        <w:t>grupė yra amidinta arba yra nemodifikuota rūgštis.</w:t>
      </w:r>
    </w:p>
    <w:p w14:paraId="5C88BEB5"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072F5AD7" w14:textId="47A3A079" w:rsidR="00E26BC9"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7.</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pagal bet kurį ankstesnį punktą, kur i</w:t>
      </w:r>
      <w:r w:rsidR="00CD1811" w:rsidRPr="003951B6">
        <w:rPr>
          <w:rFonts w:ascii="Helvetica" w:eastAsia="Times New Roman" w:hAnsi="Helvetica" w:cs="Arial"/>
          <w:sz w:val="20"/>
          <w:szCs w:val="24"/>
          <w:lang w:eastAsia="lt-LT"/>
        </w:rPr>
        <w:t>šskir</w:t>
      </w:r>
      <w:r w:rsidRPr="003951B6">
        <w:rPr>
          <w:rFonts w:ascii="Helvetica" w:eastAsia="Times New Roman" w:hAnsi="Helvetica" w:cs="Arial"/>
          <w:sz w:val="20"/>
          <w:szCs w:val="24"/>
          <w:lang w:eastAsia="lt-LT"/>
        </w:rPr>
        <w:t xml:space="preserve">tas peptidas jungiasi prie žmogaus gliukagono receptoriaus, </w:t>
      </w:r>
      <w:r w:rsidR="00E26BC9" w:rsidRPr="003951B6">
        <w:rPr>
          <w:rFonts w:ascii="Helvetica" w:eastAsia="Times New Roman" w:hAnsi="Helvetica" w:cs="Arial"/>
          <w:sz w:val="20"/>
          <w:szCs w:val="24"/>
          <w:lang w:eastAsia="lt-LT"/>
        </w:rPr>
        <w:t>esant</w:t>
      </w:r>
      <w:r w:rsidRPr="003951B6">
        <w:rPr>
          <w:rFonts w:ascii="Helvetica" w:eastAsia="Times New Roman" w:hAnsi="Helvetica" w:cs="Arial"/>
          <w:sz w:val="20"/>
          <w:szCs w:val="24"/>
          <w:lang w:eastAsia="lt-LT"/>
        </w:rPr>
        <w:t xml:space="preserve"> EC50 cAMP t</w:t>
      </w:r>
      <w:r w:rsidR="0001170E" w:rsidRPr="003951B6">
        <w:rPr>
          <w:rFonts w:ascii="Helvetica" w:eastAsia="Times New Roman" w:hAnsi="Helvetica" w:cs="Arial"/>
          <w:sz w:val="20"/>
          <w:szCs w:val="24"/>
          <w:lang w:eastAsia="lt-LT"/>
        </w:rPr>
        <w:t xml:space="preserve">yrime 1 </w:t>
      </w:r>
      <w:r w:rsidRPr="003951B6">
        <w:rPr>
          <w:rFonts w:ascii="Helvetica" w:eastAsia="Times New Roman" w:hAnsi="Helvetica" w:cs="Arial"/>
          <w:sz w:val="20"/>
          <w:szCs w:val="24"/>
          <w:lang w:eastAsia="lt-LT"/>
        </w:rPr>
        <w:t>mažesn</w:t>
      </w:r>
      <w:r w:rsidR="00E26BC9"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10 000 pM, mažesn</w:t>
      </w:r>
      <w:r w:rsidR="00E26BC9"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5000 pM, mažesn</w:t>
      </w:r>
      <w:r w:rsidR="00E26BC9"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2500 pM, mažesn</w:t>
      </w:r>
      <w:r w:rsidR="00E26BC9"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1000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900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800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700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600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500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400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300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200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100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50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25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20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15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10 pM, mažesn</w:t>
      </w:r>
      <w:r w:rsidR="00693F85" w:rsidRPr="003951B6">
        <w:rPr>
          <w:rFonts w:ascii="Helvetica" w:eastAsia="Times New Roman" w:hAnsi="Helvetica" w:cs="Arial"/>
          <w:sz w:val="20"/>
          <w:szCs w:val="24"/>
          <w:lang w:eastAsia="lt-LT"/>
        </w:rPr>
        <w:t>ei</w:t>
      </w:r>
      <w:r w:rsidRPr="003951B6">
        <w:rPr>
          <w:rFonts w:ascii="Helvetica" w:eastAsia="Times New Roman" w:hAnsi="Helvetica" w:cs="Arial"/>
          <w:sz w:val="20"/>
          <w:szCs w:val="24"/>
          <w:lang w:eastAsia="lt-LT"/>
        </w:rPr>
        <w:t xml:space="preserve"> nei 5 pM, </w:t>
      </w:r>
      <w:r w:rsidR="00E26BC9" w:rsidRPr="003951B6">
        <w:rPr>
          <w:rFonts w:ascii="Helvetica" w:eastAsia="Times New Roman" w:hAnsi="Helvetica" w:cs="Arial"/>
          <w:sz w:val="20"/>
          <w:szCs w:val="24"/>
          <w:lang w:eastAsia="lt-LT"/>
        </w:rPr>
        <w:t>mažesn</w:t>
      </w:r>
      <w:r w:rsidR="00693F85" w:rsidRPr="003951B6">
        <w:rPr>
          <w:rFonts w:ascii="Helvetica" w:eastAsia="Times New Roman" w:hAnsi="Helvetica" w:cs="Arial"/>
          <w:sz w:val="20"/>
          <w:szCs w:val="24"/>
          <w:lang w:eastAsia="lt-LT"/>
        </w:rPr>
        <w:t>ei</w:t>
      </w:r>
      <w:r w:rsidR="00E26BC9" w:rsidRPr="003951B6">
        <w:rPr>
          <w:rFonts w:ascii="Helvetica" w:eastAsia="Times New Roman" w:hAnsi="Helvetica" w:cs="Arial"/>
          <w:sz w:val="20"/>
          <w:szCs w:val="24"/>
          <w:lang w:eastAsia="lt-LT"/>
        </w:rPr>
        <w:t xml:space="preserve"> nei 4 pM, mažesn</w:t>
      </w:r>
      <w:r w:rsidR="00693F85" w:rsidRPr="003951B6">
        <w:rPr>
          <w:rFonts w:ascii="Helvetica" w:eastAsia="Times New Roman" w:hAnsi="Helvetica" w:cs="Arial"/>
          <w:sz w:val="20"/>
          <w:szCs w:val="24"/>
          <w:lang w:eastAsia="lt-LT"/>
        </w:rPr>
        <w:t>ei</w:t>
      </w:r>
      <w:r w:rsidR="00E26BC9" w:rsidRPr="003951B6">
        <w:rPr>
          <w:rFonts w:ascii="Helvetica" w:eastAsia="Times New Roman" w:hAnsi="Helvetica" w:cs="Arial"/>
          <w:sz w:val="20"/>
          <w:szCs w:val="24"/>
          <w:lang w:eastAsia="lt-LT"/>
        </w:rPr>
        <w:t xml:space="preserve"> nei 3 pM arba mažesn</w:t>
      </w:r>
      <w:r w:rsidR="00693F85" w:rsidRPr="003951B6">
        <w:rPr>
          <w:rFonts w:ascii="Helvetica" w:eastAsia="Times New Roman" w:hAnsi="Helvetica" w:cs="Arial"/>
          <w:sz w:val="20"/>
          <w:szCs w:val="24"/>
          <w:lang w:eastAsia="lt-LT"/>
        </w:rPr>
        <w:t>ei</w:t>
      </w:r>
      <w:r w:rsidR="00E26BC9" w:rsidRPr="003951B6">
        <w:rPr>
          <w:rFonts w:ascii="Helvetica" w:eastAsia="Times New Roman" w:hAnsi="Helvetica" w:cs="Arial"/>
          <w:sz w:val="20"/>
          <w:szCs w:val="24"/>
          <w:lang w:eastAsia="lt-LT"/>
        </w:rPr>
        <w:t xml:space="preserve"> nei 2 pM.</w:t>
      </w:r>
    </w:p>
    <w:p w14:paraId="57B57C04"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0A257536" w14:textId="50897EB4" w:rsidR="00693F85"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8.</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 xml:space="preserve">Išskirtas peptidas, skirtas naudoti pagal bet kurį ankstesnį punktą, kur išskirtas </w:t>
      </w:r>
      <w:r w:rsidR="00693F85" w:rsidRPr="003951B6">
        <w:rPr>
          <w:rFonts w:ascii="Helvetica" w:eastAsia="Times New Roman" w:hAnsi="Helvetica" w:cs="Arial"/>
          <w:sz w:val="20"/>
          <w:szCs w:val="24"/>
          <w:lang w:eastAsia="lt-LT"/>
        </w:rPr>
        <w:t>peptidas jungiasi prie GLP-1 receptoriaus.</w:t>
      </w:r>
    </w:p>
    <w:p w14:paraId="39738E0D"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49EC7CA8" w14:textId="7F07A3BB" w:rsidR="00693F85"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9.</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 xml:space="preserve">Išskirtas peptidas, skirtas naudoti pagal 8 punktą, kur GLP-1 receptorius yra pelės </w:t>
      </w:r>
      <w:r w:rsidR="00693F85" w:rsidRPr="003951B6">
        <w:rPr>
          <w:rFonts w:ascii="Helvetica" w:eastAsia="Times New Roman" w:hAnsi="Helvetica" w:cs="Arial"/>
          <w:sz w:val="20"/>
          <w:szCs w:val="24"/>
          <w:lang w:eastAsia="lt-LT"/>
        </w:rPr>
        <w:t>GLP-1 receptorius arba žmogaus GLP-1 receptorius.</w:t>
      </w:r>
    </w:p>
    <w:p w14:paraId="619E22AF" w14:textId="21483F01" w:rsidR="00464C51" w:rsidRPr="003951B6" w:rsidRDefault="00464C51" w:rsidP="003951B6">
      <w:pPr>
        <w:spacing w:after="0" w:line="360" w:lineRule="auto"/>
        <w:jc w:val="both"/>
        <w:rPr>
          <w:rFonts w:ascii="Helvetica" w:eastAsia="Times New Roman" w:hAnsi="Helvetica" w:cs="Arial"/>
          <w:sz w:val="20"/>
          <w:szCs w:val="24"/>
          <w:lang w:eastAsia="lt-LT"/>
        </w:rPr>
      </w:pPr>
    </w:p>
    <w:p w14:paraId="4E990B2D" w14:textId="743C6007" w:rsidR="00693F85"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10.</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pagal 8 arba 9 punkt</w:t>
      </w:r>
      <w:r w:rsidR="008953A3" w:rsidRPr="003951B6">
        <w:rPr>
          <w:rFonts w:ascii="Helvetica" w:eastAsia="Times New Roman" w:hAnsi="Helvetica" w:cs="Arial"/>
          <w:sz w:val="20"/>
          <w:szCs w:val="24"/>
          <w:lang w:eastAsia="lt-LT"/>
        </w:rPr>
        <w:t>us</w:t>
      </w:r>
      <w:r w:rsidRPr="003951B6">
        <w:rPr>
          <w:rFonts w:ascii="Helvetica" w:eastAsia="Times New Roman" w:hAnsi="Helvetica" w:cs="Arial"/>
          <w:sz w:val="20"/>
          <w:szCs w:val="24"/>
          <w:lang w:eastAsia="lt-LT"/>
        </w:rPr>
        <w:t xml:space="preserve">, kuris jungiasi prie žmogaus GLP-1 receptoriaus, </w:t>
      </w:r>
      <w:r w:rsidR="00693F85" w:rsidRPr="003951B6">
        <w:rPr>
          <w:rFonts w:ascii="Helvetica" w:eastAsia="Times New Roman" w:hAnsi="Helvetica" w:cs="Arial"/>
          <w:sz w:val="20"/>
          <w:szCs w:val="24"/>
          <w:lang w:eastAsia="lt-LT"/>
        </w:rPr>
        <w:t xml:space="preserve">esant EC50 cAMP tyrime 1 mažesnei nei 10 000 pM, mažesnei nei 5000 pM, mažesnei nei 2500 pM, mažesnei nei 1000 pM, mažesnei nei 900 pM, mažesnei nei 800 pM, mažesnei nei 700 pM, mažesnei nei 600 pM, mažesnei nei 500 pM, mažesnei nei 400 pM, mažesnei nei 300 pM, mažesnei nei 200 pM, mažesnei </w:t>
      </w:r>
      <w:r w:rsidR="00693F85" w:rsidRPr="003951B6">
        <w:rPr>
          <w:rFonts w:ascii="Helvetica" w:eastAsia="Times New Roman" w:hAnsi="Helvetica" w:cs="Arial"/>
          <w:sz w:val="20"/>
          <w:szCs w:val="24"/>
          <w:lang w:eastAsia="lt-LT"/>
        </w:rPr>
        <w:lastRenderedPageBreak/>
        <w:t>nei 100 pM, mažesnei nei 50 pM, mažesnei nei 25 pM, mažesnei nei 20 pM, mažesnei nei 15 pM, mažesnei nei 10 pM, mažesnei nei 5 pM, mažesnei nei 4 pM, mažesnei nei 3 pM arba mažesnei nei 2 pM.</w:t>
      </w:r>
    </w:p>
    <w:p w14:paraId="7E3938D9"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2FA7D197" w14:textId="5AF41289" w:rsidR="008953A3"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11.</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pagal bet kurį ankstesnį punktą, kur i</w:t>
      </w:r>
      <w:r w:rsidR="008953A3" w:rsidRPr="003951B6">
        <w:rPr>
          <w:rFonts w:ascii="Helvetica" w:eastAsia="Times New Roman" w:hAnsi="Helvetica" w:cs="Arial"/>
          <w:sz w:val="20"/>
          <w:szCs w:val="24"/>
          <w:lang w:eastAsia="lt-LT"/>
        </w:rPr>
        <w:t>šskir</w:t>
      </w:r>
      <w:r w:rsidRPr="003951B6">
        <w:rPr>
          <w:rFonts w:ascii="Helvetica" w:eastAsia="Times New Roman" w:hAnsi="Helvetica" w:cs="Arial"/>
          <w:sz w:val="20"/>
          <w:szCs w:val="24"/>
          <w:lang w:eastAsia="lt-LT"/>
        </w:rPr>
        <w:t xml:space="preserve">tas peptidas yra GLP-1 aktyvumo agonistas, gliukagono aktyvumo agonistas arba tiek </w:t>
      </w:r>
      <w:r w:rsidR="008953A3" w:rsidRPr="003951B6">
        <w:rPr>
          <w:rFonts w:ascii="Helvetica" w:eastAsia="Times New Roman" w:hAnsi="Helvetica" w:cs="Arial"/>
          <w:sz w:val="20"/>
          <w:szCs w:val="24"/>
          <w:lang w:eastAsia="lt-LT"/>
        </w:rPr>
        <w:t>GLP-1, tiek ir gliukagono aktyvumo agonistas.</w:t>
      </w:r>
    </w:p>
    <w:p w14:paraId="6409910E"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39684D8A" w14:textId="73EBC3D1" w:rsidR="00CF45C0"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12.</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pagal bet kurį ankstesnį punktą, kur i</w:t>
      </w:r>
      <w:r w:rsidR="008953A3" w:rsidRPr="003951B6">
        <w:rPr>
          <w:rFonts w:ascii="Helvetica" w:eastAsia="Times New Roman" w:hAnsi="Helvetica" w:cs="Arial"/>
          <w:sz w:val="20"/>
          <w:szCs w:val="24"/>
          <w:lang w:eastAsia="lt-LT"/>
        </w:rPr>
        <w:t>šskir</w:t>
      </w:r>
      <w:r w:rsidRPr="003951B6">
        <w:rPr>
          <w:rFonts w:ascii="Helvetica" w:eastAsia="Times New Roman" w:hAnsi="Helvetica" w:cs="Arial"/>
          <w:sz w:val="20"/>
          <w:szCs w:val="24"/>
          <w:lang w:eastAsia="lt-LT"/>
        </w:rPr>
        <w:t>tas peptidas jungiasi ir prie gliukagono receptoriaus, ir prie GLP-1 receptoriaus, kur peptidas pasižymi mažiausiai 2, 5 arba 10 kartų didesniu aktyvumu</w:t>
      </w:r>
      <w:r w:rsidR="00041AFB" w:rsidRPr="003951B6">
        <w:rPr>
          <w:rFonts w:ascii="Helvetica" w:eastAsia="Times New Roman" w:hAnsi="Helvetica" w:cs="Arial"/>
          <w:sz w:val="20"/>
          <w:szCs w:val="24"/>
          <w:lang w:eastAsia="lt-LT"/>
        </w:rPr>
        <w:t xml:space="preserve"> lyginant su </w:t>
      </w:r>
      <w:r w:rsidR="00CF45C0" w:rsidRPr="003951B6">
        <w:rPr>
          <w:rFonts w:ascii="Helvetica" w:eastAsia="Times New Roman" w:hAnsi="Helvetica" w:cs="Arial"/>
          <w:sz w:val="20"/>
          <w:szCs w:val="24"/>
          <w:lang w:eastAsia="lt-LT"/>
        </w:rPr>
        <w:t xml:space="preserve">natūraliu ligandu </w:t>
      </w:r>
      <w:r w:rsidR="00546047" w:rsidRPr="003951B6">
        <w:rPr>
          <w:rFonts w:ascii="Helvetica" w:eastAsia="Times New Roman" w:hAnsi="Helvetica" w:cs="Arial"/>
          <w:sz w:val="20"/>
          <w:szCs w:val="24"/>
          <w:lang w:eastAsia="lt-LT"/>
        </w:rPr>
        <w:t>prie</w:t>
      </w:r>
      <w:r w:rsidR="00CF45C0" w:rsidRPr="003951B6">
        <w:rPr>
          <w:rFonts w:ascii="Helvetica" w:eastAsia="Times New Roman" w:hAnsi="Helvetica" w:cs="Arial"/>
          <w:sz w:val="20"/>
          <w:szCs w:val="24"/>
          <w:lang w:eastAsia="lt-LT"/>
        </w:rPr>
        <w:t xml:space="preserve"> GLP-1 receptori</w:t>
      </w:r>
      <w:r w:rsidR="00546047" w:rsidRPr="003951B6">
        <w:rPr>
          <w:rFonts w:ascii="Helvetica" w:eastAsia="Times New Roman" w:hAnsi="Helvetica" w:cs="Arial"/>
          <w:sz w:val="20"/>
          <w:szCs w:val="24"/>
          <w:lang w:eastAsia="lt-LT"/>
        </w:rPr>
        <w:t>aus</w:t>
      </w:r>
      <w:r w:rsidR="00CF45C0" w:rsidRPr="003951B6">
        <w:rPr>
          <w:rFonts w:ascii="Helvetica" w:eastAsia="Times New Roman" w:hAnsi="Helvetica" w:cs="Arial"/>
          <w:sz w:val="20"/>
          <w:szCs w:val="24"/>
          <w:lang w:eastAsia="lt-LT"/>
        </w:rPr>
        <w:t xml:space="preserve"> nei </w:t>
      </w:r>
      <w:r w:rsidR="00546047" w:rsidRPr="003951B6">
        <w:rPr>
          <w:rFonts w:ascii="Helvetica" w:eastAsia="Times New Roman" w:hAnsi="Helvetica" w:cs="Arial"/>
          <w:sz w:val="20"/>
          <w:szCs w:val="24"/>
          <w:lang w:eastAsia="lt-LT"/>
        </w:rPr>
        <w:t>prie</w:t>
      </w:r>
      <w:r w:rsidR="00CF45C0" w:rsidRPr="003951B6">
        <w:rPr>
          <w:rFonts w:ascii="Helvetica" w:eastAsia="Times New Roman" w:hAnsi="Helvetica" w:cs="Arial"/>
          <w:sz w:val="20"/>
          <w:szCs w:val="24"/>
          <w:lang w:eastAsia="lt-LT"/>
        </w:rPr>
        <w:t xml:space="preserve"> gliukagono receptori</w:t>
      </w:r>
      <w:r w:rsidR="00497306" w:rsidRPr="003951B6">
        <w:rPr>
          <w:rFonts w:ascii="Helvetica" w:eastAsia="Times New Roman" w:hAnsi="Helvetica" w:cs="Arial"/>
          <w:sz w:val="20"/>
          <w:szCs w:val="24"/>
          <w:lang w:eastAsia="lt-LT"/>
        </w:rPr>
        <w:t>aus</w:t>
      </w:r>
      <w:r w:rsidR="00CF45C0" w:rsidRPr="003951B6">
        <w:rPr>
          <w:rFonts w:ascii="Helvetica" w:eastAsia="Times New Roman" w:hAnsi="Helvetica" w:cs="Arial"/>
          <w:sz w:val="20"/>
          <w:szCs w:val="24"/>
          <w:lang w:eastAsia="lt-LT"/>
        </w:rPr>
        <w:t>.</w:t>
      </w:r>
    </w:p>
    <w:p w14:paraId="2A8863D6" w14:textId="77777777" w:rsidR="003951B6" w:rsidRPr="003951B6" w:rsidRDefault="003951B6" w:rsidP="003951B6">
      <w:pPr>
        <w:spacing w:after="0" w:line="360" w:lineRule="auto"/>
        <w:jc w:val="both"/>
        <w:rPr>
          <w:rFonts w:ascii="Helvetica" w:eastAsia="Times New Roman" w:hAnsi="Helvetica" w:cs="Arial"/>
          <w:sz w:val="20"/>
          <w:szCs w:val="24"/>
          <w:lang w:eastAsia="lt-LT"/>
        </w:rPr>
      </w:pPr>
    </w:p>
    <w:p w14:paraId="03CCCFB4" w14:textId="7D100929" w:rsidR="006C532D" w:rsidRPr="003951B6" w:rsidRDefault="00464C51" w:rsidP="003951B6">
      <w:pPr>
        <w:spacing w:after="0" w:line="360" w:lineRule="auto"/>
        <w:ind w:firstLine="567"/>
        <w:jc w:val="both"/>
        <w:rPr>
          <w:rFonts w:ascii="Helvetica" w:eastAsia="Times New Roman" w:hAnsi="Helvetica" w:cs="Arial"/>
          <w:sz w:val="20"/>
          <w:szCs w:val="24"/>
          <w:lang w:eastAsia="lt-LT"/>
        </w:rPr>
      </w:pPr>
      <w:r w:rsidRPr="003951B6">
        <w:rPr>
          <w:rFonts w:ascii="Helvetica" w:eastAsia="Times New Roman" w:hAnsi="Helvetica" w:cs="Arial"/>
          <w:sz w:val="20"/>
          <w:szCs w:val="24"/>
          <w:lang w:eastAsia="lt-LT"/>
        </w:rPr>
        <w:t>13.</w:t>
      </w:r>
      <w:r w:rsidR="003951B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Išskirtas peptidas, skirtas naudoti pagal bet kurį ankstesnį punktą, papildomai apimantis heterologinę dalį, susietą su peptidu, kur</w:t>
      </w:r>
      <w:r w:rsidR="00CF45C0" w:rsidRPr="003951B6">
        <w:rPr>
          <w:rFonts w:ascii="Helvetica" w:eastAsia="Times New Roman" w:hAnsi="Helvetica" w:cs="Arial"/>
          <w:sz w:val="20"/>
          <w:szCs w:val="24"/>
          <w:lang w:eastAsia="lt-LT"/>
        </w:rPr>
        <w:t>, pasirinktinai,</w:t>
      </w:r>
      <w:r w:rsidRPr="003951B6">
        <w:rPr>
          <w:rFonts w:ascii="Helvetica" w:eastAsia="Times New Roman" w:hAnsi="Helvetica" w:cs="Arial"/>
          <w:sz w:val="20"/>
          <w:szCs w:val="24"/>
          <w:lang w:eastAsia="lt-LT"/>
        </w:rPr>
        <w:t xml:space="preserve"> heterologinė dalis yra</w:t>
      </w:r>
      <w:r w:rsidR="00497306" w:rsidRPr="003951B6">
        <w:rPr>
          <w:rFonts w:ascii="Helvetica" w:eastAsia="Times New Roman" w:hAnsi="Helvetica" w:cs="Arial"/>
          <w:sz w:val="20"/>
          <w:szCs w:val="24"/>
          <w:lang w:eastAsia="lt-LT"/>
        </w:rPr>
        <w:t xml:space="preserve"> </w:t>
      </w:r>
      <w:r w:rsidRPr="003951B6">
        <w:rPr>
          <w:rFonts w:ascii="Helvetica" w:eastAsia="Times New Roman" w:hAnsi="Helvetica" w:cs="Arial"/>
          <w:sz w:val="20"/>
          <w:szCs w:val="24"/>
          <w:lang w:eastAsia="lt-LT"/>
        </w:rPr>
        <w:t>baltymas, peptidas, baltymo domenas, jungt</w:t>
      </w:r>
      <w:r w:rsidR="00CF45C0" w:rsidRPr="003951B6">
        <w:rPr>
          <w:rFonts w:ascii="Helvetica" w:eastAsia="Times New Roman" w:hAnsi="Helvetica" w:cs="Arial"/>
          <w:sz w:val="20"/>
          <w:szCs w:val="24"/>
          <w:lang w:eastAsia="lt-LT"/>
        </w:rPr>
        <w:t>uka</w:t>
      </w:r>
      <w:r w:rsidRPr="003951B6">
        <w:rPr>
          <w:rFonts w:ascii="Helvetica" w:eastAsia="Times New Roman" w:hAnsi="Helvetica" w:cs="Arial"/>
          <w:sz w:val="20"/>
          <w:szCs w:val="24"/>
          <w:lang w:eastAsia="lt-LT"/>
        </w:rPr>
        <w:t>s, organinis polimeras, neorganinis polimeras, polietilenglikolis (PEG), biotinas, albuminas, žmogaus serumo albuminas (HSA), HSA FcRn rišan</w:t>
      </w:r>
      <w:r w:rsidR="00CF45C0" w:rsidRPr="003951B6">
        <w:rPr>
          <w:rFonts w:ascii="Helvetica" w:eastAsia="Times New Roman" w:hAnsi="Helvetica" w:cs="Arial"/>
          <w:sz w:val="20"/>
          <w:szCs w:val="24"/>
          <w:lang w:eastAsia="lt-LT"/>
        </w:rPr>
        <w:t>čioji</w:t>
      </w:r>
      <w:r w:rsidRPr="003951B6">
        <w:rPr>
          <w:rFonts w:ascii="Helvetica" w:eastAsia="Times New Roman" w:hAnsi="Helvetica" w:cs="Arial"/>
          <w:sz w:val="20"/>
          <w:szCs w:val="24"/>
          <w:lang w:eastAsia="lt-LT"/>
        </w:rPr>
        <w:t xml:space="preserve"> dalis, antikūnas, antikūno domenas, antikūno fragmentas, viengrandis antikūnas, domeno antikūnas, albuminą surišantis domenas</w:t>
      </w:r>
      <w:r w:rsidR="00CF45C0" w:rsidRPr="003951B6">
        <w:rPr>
          <w:rFonts w:ascii="Helvetica" w:eastAsia="Times New Roman" w:hAnsi="Helvetica" w:cs="Arial"/>
          <w:sz w:val="20"/>
          <w:szCs w:val="24"/>
          <w:lang w:eastAsia="lt-LT"/>
        </w:rPr>
        <w:t>,</w:t>
      </w:r>
      <w:r w:rsidRPr="003951B6">
        <w:rPr>
          <w:rFonts w:ascii="Helvetica" w:eastAsia="Times New Roman" w:hAnsi="Helvetica" w:cs="Arial"/>
          <w:sz w:val="20"/>
          <w:szCs w:val="24"/>
          <w:lang w:eastAsia="lt-LT"/>
        </w:rPr>
        <w:t xml:space="preserve"> fermentas, ligandas, receptorius, surišantis peptidas,</w:t>
      </w:r>
      <w:r w:rsidR="003951B6" w:rsidRPr="003951B6">
        <w:rPr>
          <w:rFonts w:ascii="Helvetica" w:eastAsia="Times New Roman" w:hAnsi="Helvetica" w:cs="Arial"/>
          <w:sz w:val="20"/>
          <w:szCs w:val="24"/>
          <w:lang w:eastAsia="lt-LT"/>
        </w:rPr>
        <w:t xml:space="preserve"> </w:t>
      </w:r>
      <w:r w:rsidR="005F5BE4" w:rsidRPr="003951B6">
        <w:rPr>
          <w:rFonts w:ascii="Helvetica" w:eastAsia="Times New Roman" w:hAnsi="Helvetica" w:cs="Arial"/>
          <w:sz w:val="20"/>
          <w:szCs w:val="24"/>
          <w:lang w:eastAsia="lt-LT"/>
        </w:rPr>
        <w:t xml:space="preserve">kitas </w:t>
      </w:r>
      <w:r w:rsidRPr="003951B6">
        <w:rPr>
          <w:rFonts w:ascii="Helvetica" w:eastAsia="Times New Roman" w:hAnsi="Helvetica" w:cs="Arial"/>
          <w:sz w:val="20"/>
          <w:szCs w:val="24"/>
          <w:lang w:eastAsia="lt-LT"/>
        </w:rPr>
        <w:t>ne</w:t>
      </w:r>
      <w:r w:rsidR="005F5BE4" w:rsidRPr="003951B6">
        <w:rPr>
          <w:rFonts w:ascii="Helvetica" w:eastAsia="Times New Roman" w:hAnsi="Helvetica" w:cs="Arial"/>
          <w:sz w:val="20"/>
          <w:szCs w:val="24"/>
          <w:lang w:eastAsia="lt-LT"/>
        </w:rPr>
        <w:t>i</w:t>
      </w:r>
      <w:r w:rsidRPr="003951B6">
        <w:rPr>
          <w:rFonts w:ascii="Helvetica" w:eastAsia="Times New Roman" w:hAnsi="Helvetica" w:cs="Arial"/>
          <w:sz w:val="20"/>
          <w:szCs w:val="24"/>
          <w:lang w:eastAsia="lt-LT"/>
        </w:rPr>
        <w:t xml:space="preserve"> FnIII karkasas, epitopo žym</w:t>
      </w:r>
      <w:r w:rsidR="00CF45C0" w:rsidRPr="003951B6">
        <w:rPr>
          <w:rFonts w:ascii="Helvetica" w:eastAsia="Times New Roman" w:hAnsi="Helvetica" w:cs="Arial"/>
          <w:sz w:val="20"/>
          <w:szCs w:val="24"/>
          <w:lang w:eastAsia="lt-LT"/>
        </w:rPr>
        <w:t>uo</w:t>
      </w:r>
      <w:r w:rsidRPr="003951B6">
        <w:rPr>
          <w:rFonts w:ascii="Helvetica" w:eastAsia="Times New Roman" w:hAnsi="Helvetica" w:cs="Arial"/>
          <w:sz w:val="20"/>
          <w:szCs w:val="24"/>
          <w:lang w:eastAsia="lt-LT"/>
        </w:rPr>
        <w:t>, rekombinantinis polipeptid</w:t>
      </w:r>
      <w:r w:rsidR="006C532D" w:rsidRPr="003951B6">
        <w:rPr>
          <w:rFonts w:ascii="Helvetica" w:eastAsia="Times New Roman" w:hAnsi="Helvetica" w:cs="Arial"/>
          <w:sz w:val="20"/>
          <w:szCs w:val="24"/>
          <w:lang w:eastAsia="lt-LT"/>
        </w:rPr>
        <w:t>inis</w:t>
      </w:r>
      <w:r w:rsidRPr="003951B6">
        <w:rPr>
          <w:rFonts w:ascii="Helvetica" w:eastAsia="Times New Roman" w:hAnsi="Helvetica" w:cs="Arial"/>
          <w:sz w:val="20"/>
          <w:szCs w:val="24"/>
          <w:lang w:eastAsia="lt-LT"/>
        </w:rPr>
        <w:t xml:space="preserve"> polimeras, citokinas arba dviejų ar daugiau</w:t>
      </w:r>
      <w:r w:rsidR="006C532D" w:rsidRPr="003951B6">
        <w:rPr>
          <w:rFonts w:ascii="Helvetica" w:hAnsi="Helvetica"/>
          <w:sz w:val="20"/>
        </w:rPr>
        <w:t xml:space="preserve"> </w:t>
      </w:r>
      <w:r w:rsidR="006C532D" w:rsidRPr="003951B6">
        <w:rPr>
          <w:rFonts w:ascii="Helvetica" w:eastAsia="Times New Roman" w:hAnsi="Helvetica" w:cs="Arial"/>
          <w:sz w:val="20"/>
          <w:szCs w:val="24"/>
          <w:lang w:eastAsia="lt-LT"/>
        </w:rPr>
        <w:t>nurodytų dalių derinys.</w:t>
      </w:r>
    </w:p>
    <w:sectPr w:rsidR="006C532D" w:rsidRPr="003951B6" w:rsidSect="003951B6">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CCB6" w14:textId="77777777" w:rsidR="008E3FF6" w:rsidRDefault="008E3FF6" w:rsidP="005F5BE4">
      <w:pPr>
        <w:spacing w:after="0" w:line="240" w:lineRule="auto"/>
      </w:pPr>
      <w:r>
        <w:separator/>
      </w:r>
    </w:p>
  </w:endnote>
  <w:endnote w:type="continuationSeparator" w:id="0">
    <w:p w14:paraId="7D42AD03" w14:textId="77777777" w:rsidR="008E3FF6" w:rsidRDefault="008E3FF6" w:rsidP="005F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0F1B" w14:textId="77777777" w:rsidR="008E3FF6" w:rsidRDefault="008E3FF6" w:rsidP="005F5BE4">
      <w:pPr>
        <w:spacing w:after="0" w:line="240" w:lineRule="auto"/>
      </w:pPr>
      <w:r>
        <w:separator/>
      </w:r>
    </w:p>
  </w:footnote>
  <w:footnote w:type="continuationSeparator" w:id="0">
    <w:p w14:paraId="762A0BA9" w14:textId="77777777" w:rsidR="008E3FF6" w:rsidRDefault="008E3FF6" w:rsidP="005F5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51"/>
    <w:rsid w:val="0001170E"/>
    <w:rsid w:val="00041AFB"/>
    <w:rsid w:val="00083E65"/>
    <w:rsid w:val="000E3B0D"/>
    <w:rsid w:val="0038653A"/>
    <w:rsid w:val="003951B6"/>
    <w:rsid w:val="00464C51"/>
    <w:rsid w:val="00497306"/>
    <w:rsid w:val="004A418A"/>
    <w:rsid w:val="00546047"/>
    <w:rsid w:val="005F5BE4"/>
    <w:rsid w:val="00671557"/>
    <w:rsid w:val="00693F85"/>
    <w:rsid w:val="006C532D"/>
    <w:rsid w:val="00714F8D"/>
    <w:rsid w:val="007360B5"/>
    <w:rsid w:val="00782B1A"/>
    <w:rsid w:val="007A23D7"/>
    <w:rsid w:val="008953A3"/>
    <w:rsid w:val="008B501D"/>
    <w:rsid w:val="008E3FF6"/>
    <w:rsid w:val="00941E68"/>
    <w:rsid w:val="009C0F9A"/>
    <w:rsid w:val="00CD1811"/>
    <w:rsid w:val="00CF45C0"/>
    <w:rsid w:val="00D634BF"/>
    <w:rsid w:val="00E26BC9"/>
    <w:rsid w:val="00F853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0E130"/>
  <w15:chartTrackingRefBased/>
  <w15:docId w15:val="{E16B077B-A38E-4946-B33D-1EE0A5B4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083E6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782B1A"/>
    <w:pPr>
      <w:ind w:left="720"/>
      <w:contextualSpacing/>
    </w:pPr>
  </w:style>
  <w:style w:type="paragraph" w:styleId="Header">
    <w:name w:val="header"/>
    <w:basedOn w:val="Normal"/>
    <w:link w:val="HeaderChar"/>
    <w:uiPriority w:val="99"/>
    <w:unhideWhenUsed/>
    <w:rsid w:val="005F5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E4"/>
  </w:style>
  <w:style w:type="paragraph" w:styleId="Footer">
    <w:name w:val="footer"/>
    <w:basedOn w:val="Normal"/>
    <w:link w:val="FooterChar"/>
    <w:uiPriority w:val="99"/>
    <w:unhideWhenUsed/>
    <w:rsid w:val="005F5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2144">
      <w:bodyDiv w:val="1"/>
      <w:marLeft w:val="0"/>
      <w:marRight w:val="0"/>
      <w:marTop w:val="0"/>
      <w:marBottom w:val="0"/>
      <w:divBdr>
        <w:top w:val="none" w:sz="0" w:space="0" w:color="auto"/>
        <w:left w:val="none" w:sz="0" w:space="0" w:color="auto"/>
        <w:bottom w:val="none" w:sz="0" w:space="0" w:color="auto"/>
        <w:right w:val="none" w:sz="0" w:space="0" w:color="auto"/>
      </w:divBdr>
      <w:divsChild>
        <w:div w:id="231820345">
          <w:marLeft w:val="0"/>
          <w:marRight w:val="0"/>
          <w:marTop w:val="0"/>
          <w:marBottom w:val="0"/>
          <w:divBdr>
            <w:top w:val="none" w:sz="0" w:space="0" w:color="auto"/>
            <w:left w:val="none" w:sz="0" w:space="0" w:color="auto"/>
            <w:bottom w:val="none" w:sz="0" w:space="0" w:color="auto"/>
            <w:right w:val="none" w:sz="0" w:space="0" w:color="auto"/>
          </w:divBdr>
          <w:divsChild>
            <w:div w:id="1462454065">
              <w:marLeft w:val="0"/>
              <w:marRight w:val="0"/>
              <w:marTop w:val="0"/>
              <w:marBottom w:val="0"/>
              <w:divBdr>
                <w:top w:val="none" w:sz="0" w:space="0" w:color="auto"/>
                <w:left w:val="none" w:sz="0" w:space="0" w:color="auto"/>
                <w:bottom w:val="none" w:sz="0" w:space="0" w:color="auto"/>
                <w:right w:val="none" w:sz="0" w:space="0" w:color="auto"/>
              </w:divBdr>
            </w:div>
            <w:div w:id="1251159809">
              <w:marLeft w:val="0"/>
              <w:marRight w:val="0"/>
              <w:marTop w:val="0"/>
              <w:marBottom w:val="0"/>
              <w:divBdr>
                <w:top w:val="none" w:sz="0" w:space="0" w:color="auto"/>
                <w:left w:val="none" w:sz="0" w:space="0" w:color="auto"/>
                <w:bottom w:val="none" w:sz="0" w:space="0" w:color="auto"/>
                <w:right w:val="none" w:sz="0" w:space="0" w:color="auto"/>
              </w:divBdr>
            </w:div>
            <w:div w:id="1018316063">
              <w:marLeft w:val="0"/>
              <w:marRight w:val="0"/>
              <w:marTop w:val="0"/>
              <w:marBottom w:val="0"/>
              <w:divBdr>
                <w:top w:val="none" w:sz="0" w:space="0" w:color="auto"/>
                <w:left w:val="none" w:sz="0" w:space="0" w:color="auto"/>
                <w:bottom w:val="none" w:sz="0" w:space="0" w:color="auto"/>
                <w:right w:val="none" w:sz="0" w:space="0" w:color="auto"/>
              </w:divBdr>
            </w:div>
            <w:div w:id="1128360062">
              <w:marLeft w:val="0"/>
              <w:marRight w:val="0"/>
              <w:marTop w:val="0"/>
              <w:marBottom w:val="0"/>
              <w:divBdr>
                <w:top w:val="none" w:sz="0" w:space="0" w:color="auto"/>
                <w:left w:val="none" w:sz="0" w:space="0" w:color="auto"/>
                <w:bottom w:val="none" w:sz="0" w:space="0" w:color="auto"/>
                <w:right w:val="none" w:sz="0" w:space="0" w:color="auto"/>
              </w:divBdr>
            </w:div>
            <w:div w:id="1581478959">
              <w:marLeft w:val="0"/>
              <w:marRight w:val="0"/>
              <w:marTop w:val="0"/>
              <w:marBottom w:val="0"/>
              <w:divBdr>
                <w:top w:val="none" w:sz="0" w:space="0" w:color="auto"/>
                <w:left w:val="none" w:sz="0" w:space="0" w:color="auto"/>
                <w:bottom w:val="none" w:sz="0" w:space="0" w:color="auto"/>
                <w:right w:val="none" w:sz="0" w:space="0" w:color="auto"/>
              </w:divBdr>
            </w:div>
            <w:div w:id="1627155030">
              <w:marLeft w:val="0"/>
              <w:marRight w:val="0"/>
              <w:marTop w:val="0"/>
              <w:marBottom w:val="0"/>
              <w:divBdr>
                <w:top w:val="none" w:sz="0" w:space="0" w:color="auto"/>
                <w:left w:val="none" w:sz="0" w:space="0" w:color="auto"/>
                <w:bottom w:val="none" w:sz="0" w:space="0" w:color="auto"/>
                <w:right w:val="none" w:sz="0" w:space="0" w:color="auto"/>
              </w:divBdr>
            </w:div>
            <w:div w:id="243494796">
              <w:marLeft w:val="0"/>
              <w:marRight w:val="0"/>
              <w:marTop w:val="0"/>
              <w:marBottom w:val="0"/>
              <w:divBdr>
                <w:top w:val="none" w:sz="0" w:space="0" w:color="auto"/>
                <w:left w:val="none" w:sz="0" w:space="0" w:color="auto"/>
                <w:bottom w:val="none" w:sz="0" w:space="0" w:color="auto"/>
                <w:right w:val="none" w:sz="0" w:space="0" w:color="auto"/>
              </w:divBdr>
            </w:div>
            <w:div w:id="1801460660">
              <w:marLeft w:val="0"/>
              <w:marRight w:val="0"/>
              <w:marTop w:val="0"/>
              <w:marBottom w:val="0"/>
              <w:divBdr>
                <w:top w:val="none" w:sz="0" w:space="0" w:color="auto"/>
                <w:left w:val="none" w:sz="0" w:space="0" w:color="auto"/>
                <w:bottom w:val="none" w:sz="0" w:space="0" w:color="auto"/>
                <w:right w:val="none" w:sz="0" w:space="0" w:color="auto"/>
              </w:divBdr>
            </w:div>
            <w:div w:id="1546678483">
              <w:marLeft w:val="0"/>
              <w:marRight w:val="0"/>
              <w:marTop w:val="0"/>
              <w:marBottom w:val="0"/>
              <w:divBdr>
                <w:top w:val="none" w:sz="0" w:space="0" w:color="auto"/>
                <w:left w:val="none" w:sz="0" w:space="0" w:color="auto"/>
                <w:bottom w:val="none" w:sz="0" w:space="0" w:color="auto"/>
                <w:right w:val="none" w:sz="0" w:space="0" w:color="auto"/>
              </w:divBdr>
            </w:div>
            <w:div w:id="109588401">
              <w:marLeft w:val="0"/>
              <w:marRight w:val="0"/>
              <w:marTop w:val="0"/>
              <w:marBottom w:val="0"/>
              <w:divBdr>
                <w:top w:val="none" w:sz="0" w:space="0" w:color="auto"/>
                <w:left w:val="none" w:sz="0" w:space="0" w:color="auto"/>
                <w:bottom w:val="none" w:sz="0" w:space="0" w:color="auto"/>
                <w:right w:val="none" w:sz="0" w:space="0" w:color="auto"/>
              </w:divBdr>
            </w:div>
            <w:div w:id="738136936">
              <w:marLeft w:val="0"/>
              <w:marRight w:val="0"/>
              <w:marTop w:val="0"/>
              <w:marBottom w:val="0"/>
              <w:divBdr>
                <w:top w:val="none" w:sz="0" w:space="0" w:color="auto"/>
                <w:left w:val="none" w:sz="0" w:space="0" w:color="auto"/>
                <w:bottom w:val="none" w:sz="0" w:space="0" w:color="auto"/>
                <w:right w:val="none" w:sz="0" w:space="0" w:color="auto"/>
              </w:divBdr>
            </w:div>
            <w:div w:id="2115978387">
              <w:marLeft w:val="0"/>
              <w:marRight w:val="0"/>
              <w:marTop w:val="0"/>
              <w:marBottom w:val="0"/>
              <w:divBdr>
                <w:top w:val="none" w:sz="0" w:space="0" w:color="auto"/>
                <w:left w:val="none" w:sz="0" w:space="0" w:color="auto"/>
                <w:bottom w:val="none" w:sz="0" w:space="0" w:color="auto"/>
                <w:right w:val="none" w:sz="0" w:space="0" w:color="auto"/>
              </w:divBdr>
            </w:div>
            <w:div w:id="17321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2496</Words>
  <Characters>1424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Raimonda Kvietkauskaitė</cp:lastModifiedBy>
  <cp:revision>4</cp:revision>
  <dcterms:created xsi:type="dcterms:W3CDTF">2022-06-03T05:52:00Z</dcterms:created>
  <dcterms:modified xsi:type="dcterms:W3CDTF">2022-06-27T11:51:00Z</dcterms:modified>
</cp:coreProperties>
</file>