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2DF36" w14:textId="3D316462" w:rsidR="00452745" w:rsidRPr="007429A4" w:rsidRDefault="007429A4" w:rsidP="007429A4">
      <w:pPr>
        <w:pStyle w:val="ListParagraph"/>
        <w:widowControl/>
        <w:ind w:left="0" w:firstLine="567"/>
        <w:rPr>
          <w:rFonts w:ascii="Helvetica" w:hAnsi="Helvetica" w:cs="Helvetica"/>
          <w:color w:val="auto"/>
          <w:sz w:val="20"/>
        </w:rPr>
      </w:pPr>
      <w:r w:rsidRPr="007429A4">
        <w:rPr>
          <w:rFonts w:ascii="Helvetica" w:hAnsi="Helvetica" w:cs="Helvetica"/>
          <w:color w:val="auto"/>
          <w:sz w:val="20"/>
        </w:rPr>
        <w:t xml:space="preserve">1. </w:t>
      </w:r>
      <w:r w:rsidR="00452745" w:rsidRPr="007429A4">
        <w:rPr>
          <w:rFonts w:ascii="Helvetica" w:hAnsi="Helvetica" w:cs="Helvetica"/>
          <w:color w:val="auto"/>
          <w:sz w:val="20"/>
        </w:rPr>
        <w:t>Bispecifinis antikūnas arba farmacinė kompozicija, apimanti minėtą bispecifinį antikūną, skirt</w:t>
      </w:r>
      <w:r w:rsidR="004D1F8A" w:rsidRPr="007429A4">
        <w:rPr>
          <w:rFonts w:ascii="Helvetica" w:hAnsi="Helvetica" w:cs="Helvetica"/>
          <w:color w:val="auto"/>
          <w:sz w:val="20"/>
        </w:rPr>
        <w:t>a</w:t>
      </w:r>
      <w:r w:rsidR="00452745" w:rsidRPr="007429A4">
        <w:rPr>
          <w:rFonts w:ascii="Helvetica" w:hAnsi="Helvetica" w:cs="Helvetica"/>
          <w:color w:val="auto"/>
          <w:sz w:val="20"/>
        </w:rPr>
        <w:t xml:space="preserve"> naudoti gydant akių kraujagyslių ligas,</w:t>
      </w:r>
    </w:p>
    <w:p w14:paraId="47AACD61" w14:textId="77777777" w:rsidR="00452745" w:rsidRPr="007429A4" w:rsidRDefault="00452745" w:rsidP="007429A4">
      <w:pPr>
        <w:widowControl/>
        <w:rPr>
          <w:rFonts w:ascii="Helvetica" w:hAnsi="Helvetica" w:cs="Helvetica"/>
          <w:color w:val="auto"/>
          <w:sz w:val="20"/>
        </w:rPr>
      </w:pPr>
      <w:r w:rsidRPr="007429A4">
        <w:rPr>
          <w:rFonts w:ascii="Helvetica" w:hAnsi="Helvetica" w:cs="Helvetica"/>
          <w:color w:val="auto"/>
          <w:sz w:val="20"/>
        </w:rPr>
        <w:t>kur akių kraujagyslių ligos yra diabetinė retinopatija, diabetinė geltonosios dėmės edema arba senatvinė geltonosios dėmės degeneracija,</w:t>
      </w:r>
    </w:p>
    <w:p w14:paraId="574B0FE0" w14:textId="77777777" w:rsidR="00452745" w:rsidRPr="007429A4" w:rsidRDefault="00452745" w:rsidP="007429A4">
      <w:pPr>
        <w:widowControl/>
        <w:rPr>
          <w:rFonts w:ascii="Helvetica" w:hAnsi="Helvetica" w:cs="Helvetica"/>
          <w:color w:val="auto"/>
          <w:sz w:val="20"/>
        </w:rPr>
      </w:pPr>
      <w:r w:rsidRPr="007429A4">
        <w:rPr>
          <w:rFonts w:ascii="Helvetica" w:hAnsi="Helvetica" w:cs="Helvetica"/>
          <w:color w:val="auto"/>
          <w:sz w:val="20"/>
        </w:rPr>
        <w:t>kur bispecifinis antikūnas apima pirmąją antigeną surišančią vietą, specifiškai besirišančią su žmogaus VEGF, ir antrąją antigeną surišančią vietą, specifiškai besirišančią su žmogaus ANG-2,</w:t>
      </w:r>
    </w:p>
    <w:p w14:paraId="04A4AC58" w14:textId="77777777" w:rsidR="00452745" w:rsidRPr="007429A4" w:rsidRDefault="00452745" w:rsidP="007429A4">
      <w:pPr>
        <w:widowControl/>
        <w:rPr>
          <w:rFonts w:ascii="Helvetica" w:hAnsi="Helvetica" w:cs="Helvetica"/>
          <w:color w:val="auto"/>
          <w:sz w:val="20"/>
        </w:rPr>
      </w:pPr>
      <w:r w:rsidRPr="007429A4">
        <w:rPr>
          <w:rFonts w:ascii="Helvetica" w:hAnsi="Helvetica" w:cs="Helvetica"/>
          <w:color w:val="auto"/>
          <w:sz w:val="20"/>
        </w:rPr>
        <w:t>kur:</w:t>
      </w:r>
    </w:p>
    <w:p w14:paraId="58F9D904" w14:textId="6659564B" w:rsidR="00452745" w:rsidRPr="007429A4" w:rsidRDefault="007429A4" w:rsidP="007429A4">
      <w:pPr>
        <w:pStyle w:val="ListParagraph"/>
        <w:widowControl/>
        <w:ind w:left="0"/>
        <w:rPr>
          <w:rFonts w:ascii="Helvetica" w:hAnsi="Helvetica" w:cs="Helvetica"/>
          <w:color w:val="auto"/>
          <w:sz w:val="20"/>
        </w:rPr>
      </w:pPr>
      <w:r w:rsidRPr="007429A4">
        <w:rPr>
          <w:rFonts w:ascii="Helvetica" w:hAnsi="Helvetica" w:cs="Helvetica"/>
          <w:color w:val="auto"/>
          <w:sz w:val="20"/>
        </w:rPr>
        <w:t xml:space="preserve">i) </w:t>
      </w:r>
      <w:r w:rsidR="00452745" w:rsidRPr="007429A4">
        <w:rPr>
          <w:rFonts w:ascii="Helvetica" w:hAnsi="Helvetica" w:cs="Helvetica"/>
          <w:color w:val="auto"/>
          <w:sz w:val="20"/>
        </w:rPr>
        <w:t>minėta pirmoji antigeną surišanti vieta, specifiškai besirišanti su VEGF, apima sunkiosios grandinės kintamojo domeno CDR3H sritį SEQ ID Nr. 1, CDR2H sritį SEQ ID Nr. 2 ir CDR1H sritį SEQ ID Nr. 3 ir lengvosios grandinės kintamojo domeno CDR3L sritį SEQ ID Nr. 4, CDR2L sritį SEQ ID Nr. 5 ir CDR1L sritį SEQ ID Nr. 6; ir</w:t>
      </w:r>
    </w:p>
    <w:p w14:paraId="25538398" w14:textId="4B0EA9D6" w:rsidR="00452745" w:rsidRPr="007429A4" w:rsidRDefault="007429A4" w:rsidP="007429A4">
      <w:pPr>
        <w:pStyle w:val="ListParagraph"/>
        <w:widowControl/>
        <w:ind w:left="0"/>
        <w:rPr>
          <w:rFonts w:ascii="Helvetica" w:hAnsi="Helvetica" w:cs="Helvetica"/>
          <w:color w:val="auto"/>
          <w:sz w:val="20"/>
        </w:rPr>
      </w:pPr>
      <w:r w:rsidRPr="007429A4">
        <w:rPr>
          <w:rFonts w:ascii="Helvetica" w:hAnsi="Helvetica" w:cs="Helvetica"/>
          <w:color w:val="auto"/>
          <w:sz w:val="20"/>
        </w:rPr>
        <w:t xml:space="preserve">ii) </w:t>
      </w:r>
      <w:r w:rsidR="00452745" w:rsidRPr="007429A4">
        <w:rPr>
          <w:rFonts w:ascii="Helvetica" w:hAnsi="Helvetica" w:cs="Helvetica"/>
          <w:color w:val="auto"/>
          <w:sz w:val="20"/>
        </w:rPr>
        <w:t>minėta antroji antigeną surišanti vieta, specifiškai besirišanti su ANG-2, apima sunkiosios grandinės kintamojo domeno CDR3H sritį SEQ ID Nr. 9, CDR2H sritį SEQ ID Nr. 10 ir CDR1H sritį SEQ ID Nr. 11 ir lengvosios grandinės kintamojo domeno CDR3L sritį SEQ ID Nr. 12, CDR2L sritį SEQ ID Nr. 13 ir CDR1L sritį SEQ ID Nr. 14, ir kur</w:t>
      </w:r>
    </w:p>
    <w:p w14:paraId="71668931" w14:textId="286029D0" w:rsidR="00452745" w:rsidRPr="007429A4" w:rsidRDefault="007429A4" w:rsidP="007429A4">
      <w:pPr>
        <w:pStyle w:val="ListParagraph"/>
        <w:widowControl/>
        <w:ind w:left="0"/>
        <w:rPr>
          <w:rFonts w:ascii="Helvetica" w:hAnsi="Helvetica" w:cs="Helvetica"/>
          <w:color w:val="auto"/>
          <w:sz w:val="20"/>
        </w:rPr>
      </w:pPr>
      <w:r w:rsidRPr="007429A4">
        <w:rPr>
          <w:rFonts w:ascii="Helvetica" w:hAnsi="Helvetica" w:cs="Helvetica"/>
          <w:color w:val="auto"/>
          <w:sz w:val="20"/>
        </w:rPr>
        <w:t xml:space="preserve">iii) </w:t>
      </w:r>
      <w:r w:rsidR="00452745" w:rsidRPr="007429A4">
        <w:rPr>
          <w:rFonts w:ascii="Helvetica" w:hAnsi="Helvetica" w:cs="Helvetica"/>
          <w:color w:val="auto"/>
          <w:sz w:val="20"/>
        </w:rPr>
        <w:t>bispecifinis antikūnas apima žmogaus IgG1 sunkiosios grandinės pastoviąją sritį, kuri yra žmogaus kilmės</w:t>
      </w:r>
      <w:r w:rsidRPr="007429A4">
        <w:rPr>
          <w:rFonts w:ascii="Helvetica" w:hAnsi="Helvetica" w:cs="Helvetica"/>
          <w:color w:val="auto"/>
          <w:sz w:val="20"/>
        </w:rPr>
        <w:t>,</w:t>
      </w:r>
      <w:r w:rsidR="00452745" w:rsidRPr="007429A4">
        <w:rPr>
          <w:rFonts w:ascii="Helvetica" w:hAnsi="Helvetica" w:cs="Helvetica"/>
          <w:color w:val="auto"/>
          <w:sz w:val="20"/>
        </w:rPr>
        <w:t xml:space="preserve"> ir apima mutacijas </w:t>
      </w:r>
      <w:r w:rsidR="0076112C" w:rsidRPr="007429A4">
        <w:rPr>
          <w:rFonts w:ascii="Helvetica" w:hAnsi="Helvetica" w:cs="Helvetica"/>
          <w:color w:val="auto"/>
          <w:sz w:val="20"/>
        </w:rPr>
        <w:t>1253A</w:t>
      </w:r>
      <w:r w:rsidR="00452745" w:rsidRPr="007429A4">
        <w:rPr>
          <w:rFonts w:ascii="Helvetica" w:hAnsi="Helvetica" w:cs="Helvetica"/>
          <w:color w:val="auto"/>
          <w:sz w:val="20"/>
        </w:rPr>
        <w:t>, H310A ir H435A, numeruojant pagal ES Kabato indeksą.</w:t>
      </w:r>
    </w:p>
    <w:p w14:paraId="0C30E456" w14:textId="77777777" w:rsidR="007429A4" w:rsidRPr="007429A4" w:rsidRDefault="007429A4" w:rsidP="007429A4">
      <w:pPr>
        <w:pStyle w:val="ListParagraph"/>
        <w:widowControl/>
        <w:ind w:left="0"/>
        <w:rPr>
          <w:rFonts w:ascii="Helvetica" w:hAnsi="Helvetica" w:cs="Helvetica"/>
          <w:color w:val="auto"/>
          <w:sz w:val="20"/>
        </w:rPr>
      </w:pPr>
    </w:p>
    <w:p w14:paraId="680559AE" w14:textId="4AB46D91" w:rsidR="00452745" w:rsidRPr="007429A4" w:rsidRDefault="007429A4" w:rsidP="007429A4">
      <w:pPr>
        <w:pStyle w:val="ListParagraph"/>
        <w:widowControl/>
        <w:ind w:left="0" w:firstLine="567"/>
        <w:rPr>
          <w:rFonts w:ascii="Helvetica" w:hAnsi="Helvetica" w:cs="Helvetica"/>
          <w:color w:val="auto"/>
          <w:sz w:val="20"/>
        </w:rPr>
      </w:pPr>
      <w:r w:rsidRPr="007429A4">
        <w:rPr>
          <w:rFonts w:ascii="Helvetica" w:hAnsi="Helvetica" w:cs="Helvetica"/>
          <w:color w:val="auto"/>
          <w:sz w:val="20"/>
        </w:rPr>
        <w:t xml:space="preserve">2. </w:t>
      </w:r>
      <w:r w:rsidR="00452745" w:rsidRPr="007429A4">
        <w:rPr>
          <w:rFonts w:ascii="Helvetica" w:hAnsi="Helvetica" w:cs="Helvetica"/>
          <w:color w:val="auto"/>
          <w:sz w:val="20"/>
        </w:rPr>
        <w:t>Bispecifinis antikūnas arba farmacinė kompozicija, apimanti minėtą bispecifinį antikūną, skirt</w:t>
      </w:r>
      <w:r w:rsidR="004D1F8A" w:rsidRPr="007429A4">
        <w:rPr>
          <w:rFonts w:ascii="Helvetica" w:hAnsi="Helvetica" w:cs="Helvetica"/>
          <w:color w:val="auto"/>
          <w:sz w:val="20"/>
        </w:rPr>
        <w:t>a</w:t>
      </w:r>
      <w:r w:rsidR="00452745" w:rsidRPr="007429A4">
        <w:rPr>
          <w:rFonts w:ascii="Helvetica" w:hAnsi="Helvetica" w:cs="Helvetica"/>
          <w:color w:val="auto"/>
          <w:sz w:val="20"/>
        </w:rPr>
        <w:t xml:space="preserve"> naudoti pagal 1 punktą, kur IgG1 poklasio sunkiosios grandinės pastovioji sritis dar apima mutacijas L234A, L235A ir P329G, numeruojant pagal ES Kabato indeksą.</w:t>
      </w:r>
    </w:p>
    <w:p w14:paraId="06DC219B" w14:textId="77777777" w:rsidR="007429A4" w:rsidRPr="007429A4" w:rsidRDefault="007429A4" w:rsidP="007429A4">
      <w:pPr>
        <w:pStyle w:val="ListParagraph"/>
        <w:widowControl/>
        <w:ind w:left="0" w:firstLine="567"/>
        <w:rPr>
          <w:rFonts w:ascii="Helvetica" w:hAnsi="Helvetica" w:cs="Helvetica"/>
          <w:color w:val="auto"/>
          <w:sz w:val="20"/>
        </w:rPr>
      </w:pPr>
    </w:p>
    <w:p w14:paraId="489E77FC" w14:textId="4601E730" w:rsidR="00452745" w:rsidRPr="007429A4" w:rsidRDefault="007429A4" w:rsidP="007429A4">
      <w:pPr>
        <w:pStyle w:val="ListParagraph"/>
        <w:widowControl/>
        <w:ind w:left="0" w:firstLine="567"/>
        <w:rPr>
          <w:rFonts w:ascii="Helvetica" w:hAnsi="Helvetica" w:cs="Helvetica"/>
          <w:color w:val="auto"/>
          <w:sz w:val="20"/>
        </w:rPr>
      </w:pPr>
      <w:r w:rsidRPr="007429A4">
        <w:rPr>
          <w:rFonts w:ascii="Helvetica" w:hAnsi="Helvetica" w:cs="Helvetica"/>
          <w:color w:val="auto"/>
          <w:sz w:val="20"/>
        </w:rPr>
        <w:t xml:space="preserve">3. </w:t>
      </w:r>
      <w:r w:rsidR="00452745" w:rsidRPr="007429A4">
        <w:rPr>
          <w:rFonts w:ascii="Helvetica" w:hAnsi="Helvetica" w:cs="Helvetica"/>
          <w:color w:val="auto"/>
          <w:sz w:val="20"/>
        </w:rPr>
        <w:t>Bispecifinis antikūnas arba farmacinė kompozicija, apimanti minėtą bispecifinį antikūną, skirt</w:t>
      </w:r>
      <w:r w:rsidR="004D1F8A" w:rsidRPr="007429A4">
        <w:rPr>
          <w:rFonts w:ascii="Helvetica" w:hAnsi="Helvetica" w:cs="Helvetica"/>
          <w:color w:val="auto"/>
          <w:sz w:val="20"/>
        </w:rPr>
        <w:t>a</w:t>
      </w:r>
      <w:r w:rsidR="00452745" w:rsidRPr="007429A4">
        <w:rPr>
          <w:rFonts w:ascii="Helvetica" w:hAnsi="Helvetica" w:cs="Helvetica"/>
          <w:color w:val="auto"/>
          <w:sz w:val="20"/>
        </w:rPr>
        <w:t xml:space="preserve"> naudoti pagal 1 punktą, kur antikūnas yra dvivalentis ir apima aminorūgščių sekas SEQ ID Nr: 25, SEQ ID Nr: 26, SEQ ID Nr: 27 ir SEQ ID Nr. 28.</w:t>
      </w:r>
    </w:p>
    <w:p w14:paraId="520EF8E6" w14:textId="77777777" w:rsidR="007429A4" w:rsidRPr="007429A4" w:rsidRDefault="007429A4" w:rsidP="007429A4">
      <w:pPr>
        <w:pStyle w:val="ListParagraph"/>
        <w:widowControl/>
        <w:ind w:left="0" w:firstLine="567"/>
        <w:rPr>
          <w:rFonts w:ascii="Helvetica" w:hAnsi="Helvetica" w:cs="Helvetica"/>
          <w:color w:val="auto"/>
          <w:sz w:val="20"/>
        </w:rPr>
      </w:pPr>
    </w:p>
    <w:p w14:paraId="4B8EBA13" w14:textId="236F6EF1" w:rsidR="00452745" w:rsidRPr="007429A4" w:rsidRDefault="007429A4" w:rsidP="007429A4">
      <w:pPr>
        <w:pStyle w:val="ListParagraph"/>
        <w:widowControl/>
        <w:ind w:left="0" w:firstLine="567"/>
        <w:rPr>
          <w:rFonts w:ascii="Helvetica" w:hAnsi="Helvetica" w:cs="Helvetica"/>
          <w:color w:val="auto"/>
          <w:sz w:val="20"/>
        </w:rPr>
      </w:pPr>
      <w:r w:rsidRPr="007429A4">
        <w:rPr>
          <w:rFonts w:ascii="Helvetica" w:hAnsi="Helvetica" w:cs="Helvetica"/>
          <w:color w:val="auto"/>
          <w:sz w:val="20"/>
        </w:rPr>
        <w:t xml:space="preserve">4. </w:t>
      </w:r>
      <w:r w:rsidR="00452745" w:rsidRPr="007429A4">
        <w:rPr>
          <w:rFonts w:ascii="Helvetica" w:hAnsi="Helvetica" w:cs="Helvetica"/>
          <w:color w:val="auto"/>
          <w:sz w:val="20"/>
        </w:rPr>
        <w:t>Bispecifinis antikūnas arba farmacinė kompozicija, apimanti minėtą bispecifinį antikūną, skirt</w:t>
      </w:r>
      <w:r w:rsidR="004D1F8A" w:rsidRPr="007429A4">
        <w:rPr>
          <w:rFonts w:ascii="Helvetica" w:hAnsi="Helvetica" w:cs="Helvetica"/>
          <w:color w:val="auto"/>
          <w:sz w:val="20"/>
        </w:rPr>
        <w:t>a</w:t>
      </w:r>
      <w:r w:rsidR="00452745" w:rsidRPr="007429A4">
        <w:rPr>
          <w:rFonts w:ascii="Helvetica" w:hAnsi="Helvetica" w:cs="Helvetica"/>
          <w:color w:val="auto"/>
          <w:sz w:val="20"/>
        </w:rPr>
        <w:t xml:space="preserve"> naudoti pagal bet kurį iš 1–3 punktų, kur antikūnas skirtas vartoti į stiklakūnį.</w:t>
      </w:r>
    </w:p>
    <w:p w14:paraId="04FFCFCC" w14:textId="77777777" w:rsidR="007429A4" w:rsidRPr="007429A4" w:rsidRDefault="007429A4" w:rsidP="007429A4">
      <w:pPr>
        <w:pStyle w:val="ListParagraph"/>
        <w:widowControl/>
        <w:ind w:left="0" w:firstLine="567"/>
        <w:rPr>
          <w:rFonts w:ascii="Helvetica" w:hAnsi="Helvetica" w:cs="Helvetica"/>
          <w:color w:val="auto"/>
          <w:sz w:val="20"/>
        </w:rPr>
      </w:pPr>
    </w:p>
    <w:p w14:paraId="3ECA5D42" w14:textId="64D37A15" w:rsidR="00452745" w:rsidRPr="007429A4" w:rsidRDefault="007429A4" w:rsidP="007429A4">
      <w:pPr>
        <w:pStyle w:val="ListParagraph"/>
        <w:widowControl/>
        <w:ind w:left="0" w:firstLine="567"/>
        <w:rPr>
          <w:rFonts w:ascii="Helvetica" w:hAnsi="Helvetica" w:cs="Helvetica"/>
          <w:color w:val="auto"/>
          <w:sz w:val="20"/>
        </w:rPr>
      </w:pPr>
      <w:r w:rsidRPr="007429A4">
        <w:rPr>
          <w:rFonts w:ascii="Helvetica" w:hAnsi="Helvetica" w:cs="Helvetica"/>
          <w:color w:val="auto"/>
          <w:sz w:val="20"/>
        </w:rPr>
        <w:t xml:space="preserve">5. </w:t>
      </w:r>
      <w:r w:rsidR="00452745" w:rsidRPr="007429A4">
        <w:rPr>
          <w:rFonts w:ascii="Helvetica" w:hAnsi="Helvetica" w:cs="Helvetica"/>
          <w:color w:val="auto"/>
          <w:sz w:val="20"/>
        </w:rPr>
        <w:t>Bispecifinis antikūnas arba farmacinė kompozicija, apimanti minėtą bispecifinį antikūną, skirt</w:t>
      </w:r>
      <w:r w:rsidR="004D1F8A" w:rsidRPr="007429A4">
        <w:rPr>
          <w:rFonts w:ascii="Helvetica" w:hAnsi="Helvetica" w:cs="Helvetica"/>
          <w:color w:val="auto"/>
          <w:sz w:val="20"/>
        </w:rPr>
        <w:t>a</w:t>
      </w:r>
      <w:r w:rsidR="00452745" w:rsidRPr="007429A4">
        <w:rPr>
          <w:rFonts w:ascii="Helvetica" w:hAnsi="Helvetica" w:cs="Helvetica"/>
          <w:color w:val="auto"/>
          <w:sz w:val="20"/>
        </w:rPr>
        <w:t xml:space="preserve"> naudoti pagal bet kurį iš 1–4 punktų, kur akių kraujagyslių liga yra diabetinė retinopatija.</w:t>
      </w:r>
    </w:p>
    <w:p w14:paraId="1FFF6194" w14:textId="77777777" w:rsidR="007429A4" w:rsidRPr="007429A4" w:rsidRDefault="007429A4" w:rsidP="007429A4">
      <w:pPr>
        <w:pStyle w:val="ListParagraph"/>
        <w:widowControl/>
        <w:ind w:left="0" w:firstLine="567"/>
        <w:rPr>
          <w:rFonts w:ascii="Helvetica" w:hAnsi="Helvetica" w:cs="Helvetica"/>
          <w:color w:val="auto"/>
          <w:sz w:val="20"/>
        </w:rPr>
      </w:pPr>
    </w:p>
    <w:p w14:paraId="65DE3611" w14:textId="234F3E76" w:rsidR="00452745" w:rsidRPr="007429A4" w:rsidRDefault="007429A4" w:rsidP="007429A4">
      <w:pPr>
        <w:pStyle w:val="ListParagraph"/>
        <w:widowControl/>
        <w:ind w:left="0" w:firstLine="567"/>
        <w:rPr>
          <w:rFonts w:ascii="Helvetica" w:hAnsi="Helvetica" w:cs="Helvetica"/>
          <w:color w:val="auto"/>
          <w:sz w:val="20"/>
        </w:rPr>
      </w:pPr>
      <w:r w:rsidRPr="007429A4">
        <w:rPr>
          <w:rFonts w:ascii="Helvetica" w:hAnsi="Helvetica" w:cs="Helvetica"/>
          <w:color w:val="auto"/>
          <w:sz w:val="20"/>
        </w:rPr>
        <w:t xml:space="preserve">6. </w:t>
      </w:r>
      <w:r w:rsidR="00452745" w:rsidRPr="007429A4">
        <w:rPr>
          <w:rFonts w:ascii="Helvetica" w:hAnsi="Helvetica" w:cs="Helvetica"/>
          <w:color w:val="auto"/>
          <w:sz w:val="20"/>
        </w:rPr>
        <w:t>Bispecifinis antikūnas arba farmacinė kompozicija, apimanti minėtą bispecifinį antikūną, skirt</w:t>
      </w:r>
      <w:r w:rsidR="004D1F8A" w:rsidRPr="007429A4">
        <w:rPr>
          <w:rFonts w:ascii="Helvetica" w:hAnsi="Helvetica" w:cs="Helvetica"/>
          <w:color w:val="auto"/>
          <w:sz w:val="20"/>
        </w:rPr>
        <w:t>a</w:t>
      </w:r>
      <w:r w:rsidR="00452745" w:rsidRPr="007429A4">
        <w:rPr>
          <w:rFonts w:ascii="Helvetica" w:hAnsi="Helvetica" w:cs="Helvetica"/>
          <w:color w:val="auto"/>
          <w:sz w:val="20"/>
        </w:rPr>
        <w:t xml:space="preserve"> naudoti pagal bet kurį iš 1–4 punktų, kur akių kraujagyslių liga yra diabetinė geltonosios dėmės edema.</w:t>
      </w:r>
    </w:p>
    <w:p w14:paraId="321C0A96" w14:textId="77777777" w:rsidR="007429A4" w:rsidRPr="007429A4" w:rsidRDefault="007429A4" w:rsidP="007429A4">
      <w:pPr>
        <w:pStyle w:val="ListParagraph"/>
        <w:widowControl/>
        <w:ind w:left="0" w:firstLine="567"/>
        <w:rPr>
          <w:rFonts w:ascii="Helvetica" w:hAnsi="Helvetica" w:cs="Helvetica"/>
          <w:color w:val="auto"/>
          <w:sz w:val="20"/>
        </w:rPr>
      </w:pPr>
    </w:p>
    <w:p w14:paraId="0F6E5E8C" w14:textId="3CB52B5B" w:rsidR="00676138" w:rsidRPr="007429A4" w:rsidRDefault="007429A4" w:rsidP="007429A4">
      <w:pPr>
        <w:pStyle w:val="ListParagraph"/>
        <w:widowControl/>
        <w:ind w:left="0" w:firstLine="567"/>
        <w:rPr>
          <w:rFonts w:ascii="Helvetica" w:hAnsi="Helvetica" w:cs="Helvetica"/>
          <w:b/>
          <w:sz w:val="20"/>
        </w:rPr>
      </w:pPr>
      <w:r w:rsidRPr="007429A4">
        <w:rPr>
          <w:rFonts w:ascii="Helvetica" w:hAnsi="Helvetica" w:cs="Helvetica"/>
          <w:color w:val="auto"/>
          <w:sz w:val="20"/>
        </w:rPr>
        <w:t xml:space="preserve">7. </w:t>
      </w:r>
      <w:r w:rsidR="00452745" w:rsidRPr="007429A4">
        <w:rPr>
          <w:rFonts w:ascii="Helvetica" w:hAnsi="Helvetica" w:cs="Helvetica"/>
          <w:color w:val="auto"/>
          <w:sz w:val="20"/>
        </w:rPr>
        <w:t>Bispecifinis antikūnas arba farmacinė kompozicija, apimanti minėtą bispecifinį antikūną, skirt</w:t>
      </w:r>
      <w:r w:rsidR="004D1F8A" w:rsidRPr="007429A4">
        <w:rPr>
          <w:rFonts w:ascii="Helvetica" w:hAnsi="Helvetica" w:cs="Helvetica"/>
          <w:color w:val="auto"/>
          <w:sz w:val="20"/>
        </w:rPr>
        <w:t>a</w:t>
      </w:r>
      <w:r w:rsidR="00452745" w:rsidRPr="007429A4">
        <w:rPr>
          <w:rFonts w:ascii="Helvetica" w:hAnsi="Helvetica" w:cs="Helvetica"/>
          <w:color w:val="auto"/>
          <w:sz w:val="20"/>
        </w:rPr>
        <w:t xml:space="preserve"> naudoti pagal bet kurį iš 1–4 punktų, kur geltonosios dėmės degeneracija yra senatvinė geltonosios dėmės degeneracija (AMD).</w:t>
      </w:r>
      <w:bookmarkStart w:id="0" w:name="_GoBack"/>
      <w:bookmarkEnd w:id="0"/>
    </w:p>
    <w:sectPr w:rsidR="00676138" w:rsidRPr="007429A4" w:rsidSect="007429A4">
      <w:pgSz w:w="11906" w:h="16838" w:code="1"/>
      <w:pgMar w:top="1134" w:right="567" w:bottom="567"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3E19B" w14:textId="77777777" w:rsidR="00085B17" w:rsidRDefault="00085B17" w:rsidP="00452745">
      <w:pPr>
        <w:spacing w:line="240" w:lineRule="auto"/>
      </w:pPr>
      <w:r>
        <w:separator/>
      </w:r>
    </w:p>
  </w:endnote>
  <w:endnote w:type="continuationSeparator" w:id="0">
    <w:p w14:paraId="1C163871" w14:textId="77777777" w:rsidR="00085B17" w:rsidRDefault="00085B17" w:rsidP="004527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FB8BE" w14:textId="77777777" w:rsidR="00085B17" w:rsidRDefault="00085B17" w:rsidP="00452745">
      <w:pPr>
        <w:spacing w:line="240" w:lineRule="auto"/>
      </w:pPr>
      <w:r>
        <w:separator/>
      </w:r>
    </w:p>
  </w:footnote>
  <w:footnote w:type="continuationSeparator" w:id="0">
    <w:p w14:paraId="58D65742" w14:textId="77777777" w:rsidR="00085B17" w:rsidRDefault="00085B17" w:rsidP="004527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569A8"/>
    <w:multiLevelType w:val="hybridMultilevel"/>
    <w:tmpl w:val="47642A3C"/>
    <w:lvl w:ilvl="0" w:tplc="62C48C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F75724"/>
    <w:multiLevelType w:val="hybridMultilevel"/>
    <w:tmpl w:val="36EC5CD0"/>
    <w:lvl w:ilvl="0" w:tplc="0B484E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45"/>
    <w:rsid w:val="00085B17"/>
    <w:rsid w:val="00182A1C"/>
    <w:rsid w:val="003A1BB6"/>
    <w:rsid w:val="00452745"/>
    <w:rsid w:val="004D1F8A"/>
    <w:rsid w:val="00583100"/>
    <w:rsid w:val="005A68F3"/>
    <w:rsid w:val="00634E00"/>
    <w:rsid w:val="00676138"/>
    <w:rsid w:val="006E5B08"/>
    <w:rsid w:val="007429A4"/>
    <w:rsid w:val="0076112C"/>
    <w:rsid w:val="007E30BB"/>
    <w:rsid w:val="008F0930"/>
    <w:rsid w:val="0090526D"/>
    <w:rsid w:val="009B55ED"/>
    <w:rsid w:val="00B861FA"/>
    <w:rsid w:val="00DC71D5"/>
    <w:rsid w:val="00EF3C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645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2745"/>
    <w:pPr>
      <w:widowControl w:val="0"/>
      <w:spacing w:after="0" w:line="360" w:lineRule="auto"/>
      <w:jc w:val="both"/>
    </w:pPr>
    <w:rPr>
      <w:rFonts w:ascii="Arial" w:eastAsia="Arial Unicode MS" w:hAnsi="Arial" w:cs="Arial"/>
      <w:color w:val="000000"/>
      <w:sz w:val="18"/>
      <w:szCs w:val="24"/>
      <w:lang w:val="lt-LT"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745"/>
    <w:pPr>
      <w:tabs>
        <w:tab w:val="center" w:pos="4252"/>
        <w:tab w:val="right" w:pos="8504"/>
      </w:tabs>
      <w:spacing w:line="240" w:lineRule="auto"/>
    </w:pPr>
  </w:style>
  <w:style w:type="character" w:customStyle="1" w:styleId="HeaderChar">
    <w:name w:val="Header Char"/>
    <w:basedOn w:val="DefaultParagraphFont"/>
    <w:link w:val="Header"/>
    <w:uiPriority w:val="99"/>
    <w:rsid w:val="00452745"/>
  </w:style>
  <w:style w:type="paragraph" w:styleId="Footer">
    <w:name w:val="footer"/>
    <w:basedOn w:val="Normal"/>
    <w:link w:val="FooterChar"/>
    <w:uiPriority w:val="99"/>
    <w:unhideWhenUsed/>
    <w:rsid w:val="00452745"/>
    <w:pPr>
      <w:tabs>
        <w:tab w:val="center" w:pos="4252"/>
        <w:tab w:val="right" w:pos="8504"/>
      </w:tabs>
      <w:spacing w:line="240" w:lineRule="auto"/>
    </w:pPr>
  </w:style>
  <w:style w:type="character" w:customStyle="1" w:styleId="FooterChar">
    <w:name w:val="Footer Char"/>
    <w:basedOn w:val="DefaultParagraphFont"/>
    <w:link w:val="Footer"/>
    <w:uiPriority w:val="99"/>
    <w:rsid w:val="00452745"/>
  </w:style>
  <w:style w:type="paragraph" w:styleId="ListParagraph">
    <w:name w:val="List Paragraph"/>
    <w:basedOn w:val="Normal"/>
    <w:uiPriority w:val="34"/>
    <w:qFormat/>
    <w:rsid w:val="00452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E6373-9954-4B99-93C7-42457B37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2252</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2021-11-04T07:18:00Z</dcterms:created>
  <dcterms:modified xsi:type="dcterms:W3CDTF">2021-11-04T07:18:00Z</dcterms:modified>
</cp:coreProperties>
</file>