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3181" w14:textId="53E807FD" w:rsidR="00FC130A" w:rsidRPr="00534A01" w:rsidRDefault="00534A01" w:rsidP="00534A01">
      <w:pPr>
        <w:pStyle w:val="ListParagraph"/>
        <w:widowControl/>
        <w:spacing w:line="360" w:lineRule="auto"/>
        <w:ind w:left="0" w:firstLine="567"/>
        <w:rPr>
          <w:rFonts w:ascii="Helvetica" w:hAnsi="Helvetica" w:cs="Helvetica"/>
          <w:sz w:val="20"/>
        </w:rPr>
      </w:pPr>
      <w:bookmarkStart w:id="0" w:name="_Hlk99109572"/>
      <w:r w:rsidRPr="00534A01">
        <w:rPr>
          <w:rFonts w:ascii="Helvetica" w:hAnsi="Helvetica" w:cs="Helvetica"/>
          <w:sz w:val="20"/>
        </w:rPr>
        <w:t xml:space="preserve">1. </w:t>
      </w:r>
      <w:r w:rsidR="00554AEC" w:rsidRPr="00534A01">
        <w:rPr>
          <w:rFonts w:ascii="Helvetica" w:hAnsi="Helvetica" w:cs="Helvetica"/>
          <w:sz w:val="20"/>
        </w:rPr>
        <w:t xml:space="preserve">Farmacinė kompozicija, apimanti žmogaus </w:t>
      </w:r>
      <w:proofErr w:type="spellStart"/>
      <w:r w:rsidR="00554AEC" w:rsidRPr="00534A01">
        <w:rPr>
          <w:rFonts w:ascii="Helvetica" w:hAnsi="Helvetica" w:cs="Helvetica"/>
          <w:sz w:val="20"/>
        </w:rPr>
        <w:t>arginazės</w:t>
      </w:r>
      <w:proofErr w:type="spellEnd"/>
      <w:r w:rsidR="00554AEC" w:rsidRPr="00534A01">
        <w:rPr>
          <w:rFonts w:ascii="Helvetica" w:hAnsi="Helvetica" w:cs="Helvetica"/>
          <w:sz w:val="20"/>
        </w:rPr>
        <w:t xml:space="preserve"> I fermentą, apimantį kobalto </w:t>
      </w:r>
      <w:proofErr w:type="spellStart"/>
      <w:r w:rsidR="00554AEC" w:rsidRPr="00534A01">
        <w:rPr>
          <w:rFonts w:ascii="Helvetica" w:hAnsi="Helvetica" w:cs="Helvetica"/>
          <w:sz w:val="20"/>
        </w:rPr>
        <w:t>kofaktorių</w:t>
      </w:r>
      <w:proofErr w:type="spellEnd"/>
      <w:r w:rsidR="00554AEC" w:rsidRPr="00534A01">
        <w:rPr>
          <w:rFonts w:ascii="Helvetica" w:hAnsi="Helvetica" w:cs="Helvetica"/>
          <w:sz w:val="20"/>
        </w:rPr>
        <w:t xml:space="preserve"> ir </w:t>
      </w:r>
      <w:proofErr w:type="spellStart"/>
      <w:r w:rsidR="00554AEC" w:rsidRPr="00534A01">
        <w:rPr>
          <w:rFonts w:ascii="Helvetica" w:hAnsi="Helvetica" w:cs="Helvetica"/>
          <w:sz w:val="20"/>
        </w:rPr>
        <w:t>imunoonkologinį</w:t>
      </w:r>
      <w:proofErr w:type="spellEnd"/>
      <w:r w:rsidR="00554AEC" w:rsidRPr="00534A01">
        <w:rPr>
          <w:rFonts w:ascii="Helvetica" w:hAnsi="Helvetica" w:cs="Helvetica"/>
          <w:sz w:val="20"/>
        </w:rPr>
        <w:t xml:space="preserve"> agentą, skirta naudoti taikant subjekto naviko augimo slopinimo būdą, kur </w:t>
      </w:r>
      <w:proofErr w:type="spellStart"/>
      <w:r w:rsidR="00554AEC" w:rsidRPr="00534A01">
        <w:rPr>
          <w:rFonts w:ascii="Helvetica" w:hAnsi="Helvetica" w:cs="Helvetica"/>
          <w:sz w:val="20"/>
        </w:rPr>
        <w:t>imunoonkologinis</w:t>
      </w:r>
      <w:proofErr w:type="spellEnd"/>
      <w:r w:rsidR="00554AEC" w:rsidRPr="00534A01">
        <w:rPr>
          <w:rFonts w:ascii="Helvetica" w:hAnsi="Helvetica" w:cs="Helvetica"/>
          <w:sz w:val="20"/>
        </w:rPr>
        <w:t xml:space="preserve"> agentas yra parinktas iš grupės, susidedančios iš anti-PD-1 antikūno, </w:t>
      </w:r>
      <w:proofErr w:type="spellStart"/>
      <w:r w:rsidR="00554AEC" w:rsidRPr="00534A01">
        <w:rPr>
          <w:rFonts w:ascii="Helvetica" w:hAnsi="Helvetica" w:cs="Helvetica"/>
          <w:sz w:val="20"/>
        </w:rPr>
        <w:t>anti</w:t>
      </w:r>
      <w:proofErr w:type="spellEnd"/>
      <w:r w:rsidR="00554AEC" w:rsidRPr="00534A01">
        <w:rPr>
          <w:rFonts w:ascii="Helvetica" w:hAnsi="Helvetica" w:cs="Helvetica"/>
          <w:sz w:val="20"/>
        </w:rPr>
        <w:t>-PD-</w:t>
      </w:r>
      <w:proofErr w:type="spellStart"/>
      <w:r w:rsidR="00554AEC" w:rsidRPr="00534A01">
        <w:rPr>
          <w:rFonts w:ascii="Helvetica" w:hAnsi="Helvetica" w:cs="Helvetica"/>
          <w:sz w:val="20"/>
        </w:rPr>
        <w:t>Ll</w:t>
      </w:r>
      <w:proofErr w:type="spellEnd"/>
      <w:r w:rsidR="00554AEC" w:rsidRPr="00534A01">
        <w:rPr>
          <w:rFonts w:ascii="Helvetica" w:hAnsi="Helvetica" w:cs="Helvetica"/>
          <w:sz w:val="20"/>
        </w:rPr>
        <w:t xml:space="preserve"> antikūno, anti-OX40 antikūno ir anti-OX40L antikūno.</w:t>
      </w:r>
    </w:p>
    <w:p w14:paraId="07875739" w14:textId="77777777" w:rsidR="00534A01" w:rsidRPr="00534A01" w:rsidRDefault="00534A01" w:rsidP="00534A01">
      <w:pPr>
        <w:pStyle w:val="ListParagraph"/>
        <w:widowControl/>
        <w:spacing w:line="360" w:lineRule="auto"/>
        <w:ind w:left="0" w:firstLine="567"/>
        <w:rPr>
          <w:rFonts w:ascii="Helvetica" w:eastAsia="Times New Roman" w:hAnsi="Helvetica" w:cs="Helvetica"/>
          <w:sz w:val="20"/>
          <w:szCs w:val="18"/>
        </w:rPr>
      </w:pPr>
    </w:p>
    <w:p w14:paraId="2E87B9C0" w14:textId="6E29CD31" w:rsidR="00FC130A" w:rsidRPr="00534A01" w:rsidRDefault="00534A01" w:rsidP="00534A01">
      <w:pPr>
        <w:pStyle w:val="ListParagraph"/>
        <w:widowControl/>
        <w:spacing w:line="360" w:lineRule="auto"/>
        <w:ind w:left="0" w:firstLine="567"/>
        <w:rPr>
          <w:rFonts w:ascii="Helvetica" w:hAnsi="Helvetica" w:cs="Helvetica"/>
          <w:sz w:val="20"/>
        </w:rPr>
      </w:pPr>
      <w:r w:rsidRPr="00534A01">
        <w:rPr>
          <w:rFonts w:ascii="Helvetica" w:hAnsi="Helvetica" w:cs="Helvetica"/>
          <w:sz w:val="20"/>
        </w:rPr>
        <w:t xml:space="preserve">2. </w:t>
      </w:r>
      <w:r w:rsidR="00554AEC" w:rsidRPr="00534A01">
        <w:rPr>
          <w:rFonts w:ascii="Helvetica" w:hAnsi="Helvetica" w:cs="Helvetica"/>
          <w:sz w:val="20"/>
        </w:rPr>
        <w:t xml:space="preserve">Farmacinė kompozicija, skirta naudoti pagal 1 punktą, kur navikas apima </w:t>
      </w:r>
      <w:proofErr w:type="spellStart"/>
      <w:r w:rsidR="00554AEC" w:rsidRPr="00534A01">
        <w:rPr>
          <w:rFonts w:ascii="Helvetica" w:hAnsi="Helvetica" w:cs="Helvetica"/>
          <w:sz w:val="20"/>
        </w:rPr>
        <w:t>arginino</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auksotrofines</w:t>
      </w:r>
      <w:proofErr w:type="spellEnd"/>
      <w:r w:rsidR="00554AEC" w:rsidRPr="00534A01">
        <w:rPr>
          <w:rFonts w:ascii="Helvetica" w:hAnsi="Helvetica" w:cs="Helvetica"/>
          <w:sz w:val="20"/>
        </w:rPr>
        <w:t xml:space="preserve"> naviko ląsteles; pageidautina, kai auglys pasižymi sumažinta arba slopinama </w:t>
      </w:r>
      <w:proofErr w:type="spellStart"/>
      <w:r w:rsidR="00554AEC" w:rsidRPr="00534A01">
        <w:rPr>
          <w:rFonts w:ascii="Helvetica" w:hAnsi="Helvetica" w:cs="Helvetica"/>
          <w:sz w:val="20"/>
        </w:rPr>
        <w:t>argininosukcinato</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sintetazės</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ornitino</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transkarbamilazės</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argininosukcinato</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liazės</w:t>
      </w:r>
      <w:proofErr w:type="spellEnd"/>
      <w:r w:rsidR="00554AEC" w:rsidRPr="00534A01">
        <w:rPr>
          <w:rFonts w:ascii="Helvetica" w:hAnsi="Helvetica" w:cs="Helvetica"/>
          <w:sz w:val="20"/>
        </w:rPr>
        <w:t xml:space="preserve"> arba jų derinio ekspresija.</w:t>
      </w:r>
    </w:p>
    <w:p w14:paraId="54B1C670" w14:textId="77777777" w:rsidR="00534A01" w:rsidRPr="00534A01" w:rsidRDefault="00534A01" w:rsidP="00534A01">
      <w:pPr>
        <w:pStyle w:val="ListParagraph"/>
        <w:widowControl/>
        <w:spacing w:line="360" w:lineRule="auto"/>
        <w:ind w:left="0" w:firstLine="567"/>
        <w:rPr>
          <w:rFonts w:ascii="Helvetica" w:eastAsia="Times New Roman" w:hAnsi="Helvetica" w:cs="Helvetica"/>
          <w:sz w:val="20"/>
          <w:szCs w:val="18"/>
        </w:rPr>
      </w:pPr>
    </w:p>
    <w:p w14:paraId="66050470" w14:textId="4316976C" w:rsidR="00FC130A" w:rsidRPr="00534A01" w:rsidRDefault="00534A01" w:rsidP="00534A01">
      <w:pPr>
        <w:pStyle w:val="ListParagraph"/>
        <w:widowControl/>
        <w:spacing w:line="360" w:lineRule="auto"/>
        <w:ind w:left="0" w:firstLine="567"/>
        <w:rPr>
          <w:rFonts w:ascii="Helvetica" w:hAnsi="Helvetica" w:cs="Helvetica"/>
          <w:sz w:val="20"/>
        </w:rPr>
      </w:pPr>
      <w:r w:rsidRPr="00534A01">
        <w:rPr>
          <w:rFonts w:ascii="Helvetica" w:hAnsi="Helvetica" w:cs="Helvetica"/>
          <w:sz w:val="20"/>
        </w:rPr>
        <w:t xml:space="preserve">3. </w:t>
      </w:r>
      <w:r w:rsidR="00554AEC" w:rsidRPr="00534A01">
        <w:rPr>
          <w:rFonts w:ascii="Helvetica" w:hAnsi="Helvetica" w:cs="Helvetica"/>
          <w:sz w:val="20"/>
        </w:rPr>
        <w:t xml:space="preserve">Farmacinė kompozicija, skirta naudoti pagal 1 punktą, kur žmogaus </w:t>
      </w:r>
      <w:proofErr w:type="spellStart"/>
      <w:r w:rsidR="00554AEC" w:rsidRPr="00534A01">
        <w:rPr>
          <w:rFonts w:ascii="Helvetica" w:hAnsi="Helvetica" w:cs="Helvetica"/>
          <w:sz w:val="20"/>
        </w:rPr>
        <w:t>arginazės</w:t>
      </w:r>
      <w:proofErr w:type="spellEnd"/>
      <w:r w:rsidR="00554AEC" w:rsidRPr="00534A01">
        <w:rPr>
          <w:rFonts w:ascii="Helvetica" w:hAnsi="Helvetica" w:cs="Helvetica"/>
          <w:sz w:val="20"/>
        </w:rPr>
        <w:t xml:space="preserve"> I fermentas yra stabilizuotas susiejant su </w:t>
      </w:r>
      <w:proofErr w:type="spellStart"/>
      <w:r w:rsidR="00554AEC" w:rsidRPr="00534A01">
        <w:rPr>
          <w:rFonts w:ascii="Helvetica" w:hAnsi="Helvetica" w:cs="Helvetica"/>
          <w:sz w:val="20"/>
        </w:rPr>
        <w:t>polietilenglikoliu</w:t>
      </w:r>
      <w:proofErr w:type="spellEnd"/>
      <w:r w:rsidR="00554AEC" w:rsidRPr="00534A01">
        <w:rPr>
          <w:rFonts w:ascii="Helvetica" w:hAnsi="Helvetica" w:cs="Helvetica"/>
          <w:sz w:val="20"/>
        </w:rPr>
        <w:t xml:space="preserve"> arba </w:t>
      </w:r>
      <w:proofErr w:type="spellStart"/>
      <w:r w:rsidR="00554AEC" w:rsidRPr="00534A01">
        <w:rPr>
          <w:rFonts w:ascii="Helvetica" w:hAnsi="Helvetica" w:cs="Helvetica"/>
          <w:sz w:val="20"/>
        </w:rPr>
        <w:t>konjugacija</w:t>
      </w:r>
      <w:proofErr w:type="spellEnd"/>
      <w:r w:rsidR="00554AEC" w:rsidRPr="00534A01">
        <w:rPr>
          <w:rFonts w:ascii="Helvetica" w:hAnsi="Helvetica" w:cs="Helvetica"/>
          <w:sz w:val="20"/>
        </w:rPr>
        <w:t xml:space="preserve"> su sintetiniu baltymo polimeru, </w:t>
      </w:r>
      <w:proofErr w:type="spellStart"/>
      <w:r w:rsidR="00554AEC" w:rsidRPr="00534A01">
        <w:rPr>
          <w:rFonts w:ascii="Helvetica" w:hAnsi="Helvetica" w:cs="Helvetica"/>
          <w:sz w:val="20"/>
        </w:rPr>
        <w:t>Fc</w:t>
      </w:r>
      <w:proofErr w:type="spellEnd"/>
      <w:r w:rsidR="00554AEC" w:rsidRPr="00534A01">
        <w:rPr>
          <w:rFonts w:ascii="Helvetica" w:hAnsi="Helvetica" w:cs="Helvetica"/>
          <w:sz w:val="20"/>
        </w:rPr>
        <w:t xml:space="preserve"> fragmentu arba </w:t>
      </w:r>
      <w:proofErr w:type="spellStart"/>
      <w:r w:rsidR="00554AEC" w:rsidRPr="00534A01">
        <w:rPr>
          <w:rFonts w:ascii="Helvetica" w:hAnsi="Helvetica" w:cs="Helvetica"/>
          <w:sz w:val="20"/>
        </w:rPr>
        <w:t>albuminu</w:t>
      </w:r>
      <w:proofErr w:type="spellEnd"/>
      <w:r w:rsidR="00554AEC" w:rsidRPr="00534A01">
        <w:rPr>
          <w:rFonts w:ascii="Helvetica" w:hAnsi="Helvetica" w:cs="Helvetica"/>
          <w:sz w:val="20"/>
        </w:rPr>
        <w:t>.</w:t>
      </w:r>
    </w:p>
    <w:p w14:paraId="54BBD0D1" w14:textId="77777777" w:rsidR="00534A01" w:rsidRPr="00534A01" w:rsidRDefault="00534A01" w:rsidP="00534A01">
      <w:pPr>
        <w:pStyle w:val="ListParagraph"/>
        <w:widowControl/>
        <w:spacing w:line="360" w:lineRule="auto"/>
        <w:ind w:left="0" w:firstLine="567"/>
        <w:rPr>
          <w:rFonts w:ascii="Helvetica" w:eastAsia="Times New Roman" w:hAnsi="Helvetica" w:cs="Helvetica"/>
          <w:sz w:val="20"/>
          <w:szCs w:val="18"/>
        </w:rPr>
      </w:pPr>
    </w:p>
    <w:p w14:paraId="258A2292" w14:textId="4446BFD0" w:rsidR="00FC130A" w:rsidRPr="00534A01" w:rsidRDefault="00534A01" w:rsidP="00534A01">
      <w:pPr>
        <w:pStyle w:val="ListParagraph"/>
        <w:widowControl/>
        <w:spacing w:line="360" w:lineRule="auto"/>
        <w:ind w:left="0" w:firstLine="567"/>
        <w:rPr>
          <w:rFonts w:ascii="Helvetica" w:hAnsi="Helvetica" w:cs="Helvetica"/>
          <w:sz w:val="20"/>
        </w:rPr>
      </w:pPr>
      <w:r w:rsidRPr="00534A01">
        <w:rPr>
          <w:rFonts w:ascii="Helvetica" w:hAnsi="Helvetica" w:cs="Helvetica"/>
          <w:sz w:val="20"/>
        </w:rPr>
        <w:t xml:space="preserve">4. </w:t>
      </w:r>
      <w:r w:rsidR="00554AEC" w:rsidRPr="00534A01">
        <w:rPr>
          <w:rFonts w:ascii="Helvetica" w:hAnsi="Helvetica" w:cs="Helvetica"/>
          <w:sz w:val="20"/>
        </w:rPr>
        <w:t xml:space="preserve">Farmacinė kompozicija, skirta naudoti pagal bet kurį iš 1–3 punktų, kur žmogaus </w:t>
      </w:r>
      <w:proofErr w:type="spellStart"/>
      <w:r w:rsidR="00554AEC" w:rsidRPr="00534A01">
        <w:rPr>
          <w:rFonts w:ascii="Helvetica" w:hAnsi="Helvetica" w:cs="Helvetica"/>
          <w:sz w:val="20"/>
        </w:rPr>
        <w:t>arginazės</w:t>
      </w:r>
      <w:proofErr w:type="spellEnd"/>
      <w:r w:rsidR="00554AEC" w:rsidRPr="00534A01">
        <w:rPr>
          <w:rFonts w:ascii="Helvetica" w:hAnsi="Helvetica" w:cs="Helvetica"/>
          <w:sz w:val="20"/>
        </w:rPr>
        <w:t xml:space="preserve"> I fermentas yra </w:t>
      </w:r>
      <w:proofErr w:type="spellStart"/>
      <w:r w:rsidR="00554AEC" w:rsidRPr="00534A01">
        <w:rPr>
          <w:rFonts w:ascii="Helvetica" w:hAnsi="Helvetica" w:cs="Helvetica"/>
          <w:sz w:val="20"/>
        </w:rPr>
        <w:t>pegiliuotas</w:t>
      </w:r>
      <w:proofErr w:type="spellEnd"/>
      <w:r w:rsidR="00554AEC" w:rsidRPr="00534A01">
        <w:rPr>
          <w:rFonts w:ascii="Helvetica" w:hAnsi="Helvetica" w:cs="Helvetica"/>
          <w:sz w:val="20"/>
        </w:rPr>
        <w:t>.</w:t>
      </w:r>
    </w:p>
    <w:p w14:paraId="693958E4" w14:textId="77777777" w:rsidR="00534A01" w:rsidRPr="00534A01" w:rsidRDefault="00534A01" w:rsidP="00534A01">
      <w:pPr>
        <w:pStyle w:val="ListParagraph"/>
        <w:widowControl/>
        <w:spacing w:line="360" w:lineRule="auto"/>
        <w:ind w:left="0" w:firstLine="567"/>
        <w:rPr>
          <w:rFonts w:ascii="Helvetica" w:eastAsia="Times New Roman" w:hAnsi="Helvetica" w:cs="Helvetica"/>
          <w:sz w:val="20"/>
          <w:szCs w:val="18"/>
        </w:rPr>
      </w:pPr>
    </w:p>
    <w:p w14:paraId="6C7BE102" w14:textId="689DF08B" w:rsidR="00FC130A" w:rsidRPr="00534A01" w:rsidRDefault="00534A01" w:rsidP="00534A01">
      <w:pPr>
        <w:pStyle w:val="ListParagraph"/>
        <w:widowControl/>
        <w:spacing w:line="360" w:lineRule="auto"/>
        <w:ind w:left="0" w:firstLine="567"/>
        <w:rPr>
          <w:rFonts w:ascii="Helvetica" w:eastAsia="Times New Roman" w:hAnsi="Helvetica" w:cs="Helvetica"/>
          <w:sz w:val="20"/>
          <w:szCs w:val="18"/>
        </w:rPr>
      </w:pPr>
      <w:r w:rsidRPr="00534A01">
        <w:rPr>
          <w:rFonts w:ascii="Helvetica" w:hAnsi="Helvetica" w:cs="Helvetica"/>
          <w:sz w:val="20"/>
        </w:rPr>
        <w:t xml:space="preserve">5. </w:t>
      </w:r>
      <w:r w:rsidR="00554AEC" w:rsidRPr="00534A01">
        <w:rPr>
          <w:rFonts w:ascii="Helvetica" w:hAnsi="Helvetica" w:cs="Helvetica"/>
          <w:sz w:val="20"/>
        </w:rPr>
        <w:t>Farmacinė kompozicija, skirta naudoti pagal bet kurį iš 1–4 punktų, kur subjektas yra gyvūnas arba žmogus, sergantis vėžiu.</w:t>
      </w:r>
    </w:p>
    <w:p w14:paraId="17C65496"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68D06B3D" w14:textId="2EA7B138" w:rsidR="00FC130A" w:rsidRPr="00534A01" w:rsidRDefault="00534A01" w:rsidP="00534A01">
      <w:pPr>
        <w:spacing w:after="0" w:line="360" w:lineRule="auto"/>
        <w:ind w:firstLine="567"/>
        <w:jc w:val="both"/>
        <w:rPr>
          <w:rFonts w:ascii="Helvetica" w:hAnsi="Helvetica" w:cs="Helvetica"/>
          <w:sz w:val="20"/>
        </w:rPr>
      </w:pPr>
      <w:r w:rsidRPr="00534A01">
        <w:rPr>
          <w:rFonts w:ascii="Helvetica" w:hAnsi="Helvetica" w:cs="Helvetica"/>
          <w:sz w:val="20"/>
        </w:rPr>
        <w:t xml:space="preserve">6. </w:t>
      </w:r>
      <w:r w:rsidR="00554AEC" w:rsidRPr="00534A01">
        <w:rPr>
          <w:rFonts w:ascii="Helvetica" w:hAnsi="Helvetica" w:cs="Helvetica"/>
          <w:sz w:val="20"/>
        </w:rPr>
        <w:t xml:space="preserve">Farmacinė kompozicija, skirta naudoti pagal bet kurį iš 1–5 punktų, kur </w:t>
      </w:r>
      <w:proofErr w:type="spellStart"/>
      <w:r w:rsidR="00554AEC" w:rsidRPr="00534A01">
        <w:rPr>
          <w:rFonts w:ascii="Helvetica" w:hAnsi="Helvetica" w:cs="Helvetica"/>
          <w:sz w:val="20"/>
        </w:rPr>
        <w:t>imunoonkologinis</w:t>
      </w:r>
      <w:proofErr w:type="spellEnd"/>
      <w:r w:rsidR="00554AEC" w:rsidRPr="00534A01">
        <w:rPr>
          <w:rFonts w:ascii="Helvetica" w:hAnsi="Helvetica" w:cs="Helvetica"/>
          <w:sz w:val="20"/>
        </w:rPr>
        <w:t xml:space="preserve"> agentas apima </w:t>
      </w:r>
      <w:proofErr w:type="spellStart"/>
      <w:r w:rsidR="00554AEC" w:rsidRPr="00534A01">
        <w:rPr>
          <w:rFonts w:ascii="Helvetica" w:hAnsi="Helvetica" w:cs="Helvetica"/>
          <w:sz w:val="20"/>
        </w:rPr>
        <w:t>pembrolizumabą</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atezolizumabą</w:t>
      </w:r>
      <w:proofErr w:type="spellEnd"/>
      <w:r w:rsidR="00554AEC" w:rsidRPr="00534A01">
        <w:rPr>
          <w:rFonts w:ascii="Helvetica" w:hAnsi="Helvetica" w:cs="Helvetica"/>
          <w:sz w:val="20"/>
        </w:rPr>
        <w:t xml:space="preserve"> arba </w:t>
      </w:r>
      <w:proofErr w:type="spellStart"/>
      <w:r w:rsidR="00554AEC" w:rsidRPr="00534A01">
        <w:rPr>
          <w:rFonts w:ascii="Helvetica" w:hAnsi="Helvetica" w:cs="Helvetica"/>
          <w:sz w:val="20"/>
        </w:rPr>
        <w:t>nivolumabą</w:t>
      </w:r>
      <w:proofErr w:type="spellEnd"/>
      <w:r w:rsidR="00554AEC" w:rsidRPr="00534A01">
        <w:rPr>
          <w:rFonts w:ascii="Helvetica" w:hAnsi="Helvetica" w:cs="Helvetica"/>
          <w:sz w:val="20"/>
        </w:rPr>
        <w:t>.</w:t>
      </w:r>
    </w:p>
    <w:p w14:paraId="72468A0E" w14:textId="77777777" w:rsidR="00534A01" w:rsidRPr="00534A01" w:rsidRDefault="00534A01" w:rsidP="00534A01">
      <w:pPr>
        <w:spacing w:after="0" w:line="360" w:lineRule="auto"/>
        <w:jc w:val="both"/>
        <w:rPr>
          <w:rFonts w:ascii="Helvetica" w:eastAsia="Times New Roman" w:hAnsi="Helvetica" w:cs="Helvetica"/>
          <w:sz w:val="20"/>
          <w:szCs w:val="18"/>
        </w:rPr>
      </w:pPr>
    </w:p>
    <w:p w14:paraId="38F6116B" w14:textId="172B3DB0" w:rsidR="00FC130A" w:rsidRPr="00534A01" w:rsidRDefault="00534A01" w:rsidP="00534A01">
      <w:pPr>
        <w:pStyle w:val="ListParagraph"/>
        <w:widowControl/>
        <w:spacing w:line="360" w:lineRule="auto"/>
        <w:ind w:left="0" w:firstLine="567"/>
        <w:rPr>
          <w:rFonts w:ascii="Helvetica" w:hAnsi="Helvetica" w:cs="Helvetica"/>
          <w:sz w:val="20"/>
        </w:rPr>
      </w:pPr>
      <w:r w:rsidRPr="00534A01">
        <w:rPr>
          <w:rFonts w:ascii="Helvetica" w:hAnsi="Helvetica" w:cs="Helvetica"/>
          <w:sz w:val="20"/>
        </w:rPr>
        <w:t>7.</w:t>
      </w:r>
      <w:r w:rsidR="00812120" w:rsidRPr="00534A01">
        <w:rPr>
          <w:rFonts w:ascii="Helvetica" w:hAnsi="Helvetica" w:cs="Helvetica"/>
          <w:sz w:val="20"/>
        </w:rPr>
        <w:t xml:space="preserve"> </w:t>
      </w:r>
      <w:r w:rsidR="00554AEC" w:rsidRPr="00534A01">
        <w:rPr>
          <w:rFonts w:ascii="Helvetica" w:hAnsi="Helvetica" w:cs="Helvetica"/>
          <w:sz w:val="20"/>
        </w:rPr>
        <w:t xml:space="preserve">Farmacinė kompozicija, skirta naudoti pagal bet kurį iš 1–6 punktų, kur navikas yra kepenų ląstelių karcinoma, inkstų ląstelių karcinoma, krūties vėžys, melanoma, prostatos vėžys, kasos vėžys, šlapimo pūslės vėžys, storosios žarnos karcinoma, gaubtinės ir tiesiosios žarnos vėžys, trigubai neigiamas krūties vėžys, </w:t>
      </w:r>
      <w:proofErr w:type="spellStart"/>
      <w:r w:rsidR="00554AEC" w:rsidRPr="00534A01">
        <w:rPr>
          <w:rFonts w:ascii="Helvetica" w:hAnsi="Helvetica" w:cs="Helvetica"/>
          <w:sz w:val="20"/>
        </w:rPr>
        <w:t>Hodžkino</w:t>
      </w:r>
      <w:proofErr w:type="spellEnd"/>
      <w:r w:rsidR="00554AEC" w:rsidRPr="00534A01">
        <w:rPr>
          <w:rFonts w:ascii="Helvetica" w:hAnsi="Helvetica" w:cs="Helvetica"/>
          <w:sz w:val="20"/>
        </w:rPr>
        <w:t xml:space="preserve"> limfoma, skrandžio vėžys, </w:t>
      </w:r>
      <w:proofErr w:type="spellStart"/>
      <w:r w:rsidR="00554AEC" w:rsidRPr="00534A01">
        <w:rPr>
          <w:rFonts w:ascii="Helvetica" w:hAnsi="Helvetica" w:cs="Helvetica"/>
          <w:sz w:val="20"/>
        </w:rPr>
        <w:t>glioblastoma</w:t>
      </w:r>
      <w:proofErr w:type="spellEnd"/>
      <w:r w:rsidR="00554AEC" w:rsidRPr="00534A01">
        <w:rPr>
          <w:rFonts w:ascii="Helvetica" w:hAnsi="Helvetica" w:cs="Helvetica"/>
          <w:sz w:val="20"/>
        </w:rPr>
        <w:t xml:space="preserve">, Merkelio ląstelių karcinoma, plaučių karcinoma, </w:t>
      </w:r>
      <w:proofErr w:type="spellStart"/>
      <w:r w:rsidR="00554AEC" w:rsidRPr="00534A01">
        <w:rPr>
          <w:rFonts w:ascii="Helvetica" w:hAnsi="Helvetica" w:cs="Helvetica"/>
          <w:sz w:val="20"/>
        </w:rPr>
        <w:t>smulkialąstelinis</w:t>
      </w:r>
      <w:proofErr w:type="spellEnd"/>
      <w:r w:rsidR="00554AEC" w:rsidRPr="00534A01">
        <w:rPr>
          <w:rFonts w:ascii="Helvetica" w:hAnsi="Helvetica" w:cs="Helvetica"/>
          <w:sz w:val="20"/>
        </w:rPr>
        <w:t xml:space="preserve"> plaučių vėžys arba </w:t>
      </w:r>
      <w:proofErr w:type="spellStart"/>
      <w:r w:rsidR="00554AEC" w:rsidRPr="00534A01">
        <w:rPr>
          <w:rFonts w:ascii="Helvetica" w:hAnsi="Helvetica" w:cs="Helvetica"/>
          <w:sz w:val="20"/>
        </w:rPr>
        <w:t>nesmulkialąstelinis</w:t>
      </w:r>
      <w:proofErr w:type="spellEnd"/>
      <w:r w:rsidR="00554AEC" w:rsidRPr="00534A01">
        <w:rPr>
          <w:rFonts w:ascii="Helvetica" w:hAnsi="Helvetica" w:cs="Helvetica"/>
          <w:sz w:val="20"/>
        </w:rPr>
        <w:t xml:space="preserve"> plaučių vėžys.</w:t>
      </w:r>
    </w:p>
    <w:p w14:paraId="70EA537D"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4F577D48" w14:textId="367F0762" w:rsidR="00FC130A" w:rsidRPr="00534A01" w:rsidRDefault="00534A01" w:rsidP="00534A01">
      <w:pPr>
        <w:pStyle w:val="ListParagraph"/>
        <w:widowControl/>
        <w:spacing w:line="360" w:lineRule="auto"/>
        <w:ind w:left="0" w:firstLine="567"/>
        <w:rPr>
          <w:rFonts w:ascii="Helvetica" w:eastAsia="Times New Roman" w:hAnsi="Helvetica" w:cs="Helvetica"/>
          <w:sz w:val="20"/>
          <w:szCs w:val="18"/>
        </w:rPr>
      </w:pPr>
      <w:r w:rsidRPr="00534A01">
        <w:rPr>
          <w:rFonts w:ascii="Helvetica" w:hAnsi="Helvetica" w:cs="Helvetica"/>
          <w:sz w:val="20"/>
        </w:rPr>
        <w:t>8.</w:t>
      </w:r>
      <w:r w:rsidR="00812120" w:rsidRPr="00534A01">
        <w:rPr>
          <w:rFonts w:ascii="Helvetica" w:hAnsi="Helvetica" w:cs="Helvetica"/>
          <w:sz w:val="20"/>
        </w:rPr>
        <w:t xml:space="preserve"> </w:t>
      </w:r>
      <w:r w:rsidR="00554AEC" w:rsidRPr="00534A01">
        <w:rPr>
          <w:rFonts w:ascii="Helvetica" w:hAnsi="Helvetica" w:cs="Helvetica"/>
          <w:sz w:val="20"/>
        </w:rPr>
        <w:t>Farmacinė kompozicija, skirta naudoti pagal bet kurį iš 1–7 punktų, kur subjekto naviko augimo slopinimo būdu:</w:t>
      </w:r>
    </w:p>
    <w:p w14:paraId="1CF7ED29" w14:textId="77777777" w:rsidR="00FC130A" w:rsidRPr="00534A01" w:rsidRDefault="00554AEC" w:rsidP="00534A01">
      <w:pPr>
        <w:pStyle w:val="ListParagraph"/>
        <w:widowControl/>
        <w:spacing w:line="360" w:lineRule="auto"/>
        <w:ind w:left="0"/>
        <w:rPr>
          <w:rFonts w:ascii="Helvetica" w:eastAsia="Times New Roman" w:hAnsi="Helvetica" w:cs="Helvetica"/>
          <w:sz w:val="20"/>
          <w:szCs w:val="18"/>
        </w:rPr>
      </w:pPr>
      <w:r w:rsidRPr="00534A01">
        <w:rPr>
          <w:rFonts w:ascii="Helvetica" w:hAnsi="Helvetica" w:cs="Helvetica"/>
          <w:sz w:val="20"/>
        </w:rPr>
        <w:t xml:space="preserve">žmogaus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I fermentas ir anti-PD-1 antikūnas, anti-PDL-1 antikūnas, anti-OX40 antikūnas arba anti-OX40L antikūnas yra skiriami vienu metu arba</w:t>
      </w:r>
    </w:p>
    <w:p w14:paraId="5D03C8E0" w14:textId="6891D858" w:rsidR="00FC130A" w:rsidRPr="00534A01" w:rsidRDefault="00554AEC" w:rsidP="00534A01">
      <w:pPr>
        <w:pStyle w:val="ListParagraph"/>
        <w:widowControl/>
        <w:spacing w:line="360" w:lineRule="auto"/>
        <w:ind w:left="0"/>
        <w:rPr>
          <w:rFonts w:ascii="Helvetica" w:hAnsi="Helvetica" w:cs="Helvetica"/>
          <w:sz w:val="20"/>
        </w:rPr>
      </w:pPr>
      <w:r w:rsidRPr="00534A01">
        <w:rPr>
          <w:rFonts w:ascii="Helvetica" w:hAnsi="Helvetica" w:cs="Helvetica"/>
          <w:sz w:val="20"/>
        </w:rPr>
        <w:t xml:space="preserve">žmogaus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I fermentas ir anti-PD-1 antikūnas, anti-PDL-1 antikūnas, anti-OX40 antikūnas arba anti-OX40L antikūnas yra skiriami paeiliui.</w:t>
      </w:r>
    </w:p>
    <w:p w14:paraId="3E25A493"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6A9EE933" w14:textId="211A50AF" w:rsidR="00FC130A" w:rsidRPr="00534A01" w:rsidRDefault="00534A01" w:rsidP="00534A01">
      <w:pPr>
        <w:spacing w:after="0" w:line="360" w:lineRule="auto"/>
        <w:ind w:firstLine="567"/>
        <w:jc w:val="both"/>
        <w:rPr>
          <w:rFonts w:ascii="Helvetica" w:eastAsia="Times New Roman" w:hAnsi="Helvetica" w:cs="Helvetica"/>
          <w:sz w:val="20"/>
          <w:szCs w:val="18"/>
        </w:rPr>
      </w:pPr>
      <w:r w:rsidRPr="00534A01">
        <w:rPr>
          <w:rFonts w:ascii="Helvetica" w:hAnsi="Helvetica" w:cs="Helvetica"/>
          <w:sz w:val="20"/>
        </w:rPr>
        <w:t>9.</w:t>
      </w:r>
      <w:r w:rsidR="00812120" w:rsidRPr="00534A01">
        <w:rPr>
          <w:rFonts w:ascii="Helvetica" w:hAnsi="Helvetica" w:cs="Helvetica"/>
          <w:sz w:val="20"/>
        </w:rPr>
        <w:t xml:space="preserve"> </w:t>
      </w:r>
      <w:r w:rsidR="00554AEC" w:rsidRPr="00534A01">
        <w:rPr>
          <w:rFonts w:ascii="Helvetica" w:hAnsi="Helvetica" w:cs="Helvetica"/>
          <w:sz w:val="20"/>
        </w:rPr>
        <w:t xml:space="preserve">Farmacinė kompozicija, skirta naudoti pagal bet kurį iš 1–8 punktų, kai žmogaus </w:t>
      </w:r>
      <w:proofErr w:type="spellStart"/>
      <w:r w:rsidR="00554AEC" w:rsidRPr="00534A01">
        <w:rPr>
          <w:rFonts w:ascii="Helvetica" w:hAnsi="Helvetica" w:cs="Helvetica"/>
          <w:sz w:val="20"/>
        </w:rPr>
        <w:t>arginazės</w:t>
      </w:r>
      <w:proofErr w:type="spellEnd"/>
      <w:r w:rsidR="00554AEC" w:rsidRPr="00534A01">
        <w:rPr>
          <w:rFonts w:ascii="Helvetica" w:hAnsi="Helvetica" w:cs="Helvetica"/>
          <w:sz w:val="20"/>
        </w:rPr>
        <w:t xml:space="preserve"> I fermentas rodo </w:t>
      </w:r>
      <w:proofErr w:type="spellStart"/>
      <w:r w:rsidR="00554AEC" w:rsidRPr="00534A01">
        <w:rPr>
          <w:rFonts w:ascii="Helvetica" w:hAnsi="Helvetica" w:cs="Helvetica"/>
          <w:sz w:val="20"/>
        </w:rPr>
        <w:t>k</w:t>
      </w:r>
      <w:r w:rsidR="00554AEC" w:rsidRPr="00534A01">
        <w:rPr>
          <w:rFonts w:ascii="Helvetica" w:hAnsi="Helvetica" w:cs="Helvetica"/>
          <w:sz w:val="20"/>
          <w:szCs w:val="18"/>
          <w:vertAlign w:val="subscript"/>
        </w:rPr>
        <w:t>kat</w:t>
      </w:r>
      <w:proofErr w:type="spellEnd"/>
      <w:r w:rsidR="00554AEC" w:rsidRPr="00534A01">
        <w:rPr>
          <w:rFonts w:ascii="Helvetica" w:hAnsi="Helvetica" w:cs="Helvetica"/>
          <w:sz w:val="20"/>
        </w:rPr>
        <w:t>/K</w:t>
      </w:r>
      <w:r w:rsidR="00554AEC" w:rsidRPr="00534A01">
        <w:rPr>
          <w:rFonts w:ascii="Helvetica" w:hAnsi="Helvetica" w:cs="Helvetica"/>
          <w:sz w:val="20"/>
          <w:szCs w:val="18"/>
          <w:vertAlign w:val="subscript"/>
        </w:rPr>
        <w:t>M</w:t>
      </w:r>
      <w:r w:rsidR="00554AEC" w:rsidRPr="00534A01">
        <w:rPr>
          <w:rFonts w:ascii="Helvetica" w:hAnsi="Helvetica" w:cs="Helvetica"/>
          <w:sz w:val="20"/>
        </w:rPr>
        <w:t xml:space="preserve"> </w:t>
      </w:r>
      <w:proofErr w:type="spellStart"/>
      <w:r w:rsidR="00554AEC" w:rsidRPr="00534A01">
        <w:rPr>
          <w:rFonts w:ascii="Helvetica" w:hAnsi="Helvetica" w:cs="Helvetica"/>
          <w:sz w:val="20"/>
        </w:rPr>
        <w:t>arginino</w:t>
      </w:r>
      <w:proofErr w:type="spellEnd"/>
      <w:r w:rsidR="00554AEC" w:rsidRPr="00534A01">
        <w:rPr>
          <w:rFonts w:ascii="Helvetica" w:hAnsi="Helvetica" w:cs="Helvetica"/>
          <w:sz w:val="20"/>
        </w:rPr>
        <w:t xml:space="preserve"> hidrolizei nuo 400 mM</w:t>
      </w:r>
      <w:r w:rsidR="00554AEC" w:rsidRPr="00534A01">
        <w:rPr>
          <w:rFonts w:ascii="Helvetica" w:hAnsi="Helvetica" w:cs="Helvetica"/>
          <w:sz w:val="20"/>
          <w:szCs w:val="18"/>
          <w:vertAlign w:val="superscript"/>
        </w:rPr>
        <w:t>-1</w:t>
      </w:r>
      <w:r w:rsidR="00554AEC" w:rsidRPr="00534A01">
        <w:rPr>
          <w:rFonts w:ascii="Helvetica" w:hAnsi="Helvetica" w:cs="Helvetica"/>
          <w:sz w:val="20"/>
        </w:rPr>
        <w:t> s</w:t>
      </w:r>
      <w:r w:rsidR="00554AEC" w:rsidRPr="00534A01">
        <w:rPr>
          <w:rFonts w:ascii="Helvetica" w:hAnsi="Helvetica" w:cs="Helvetica"/>
          <w:sz w:val="20"/>
          <w:szCs w:val="18"/>
          <w:vertAlign w:val="superscript"/>
        </w:rPr>
        <w:t>-1</w:t>
      </w:r>
      <w:r w:rsidR="00554AEC" w:rsidRPr="00534A01">
        <w:rPr>
          <w:rFonts w:ascii="Helvetica" w:hAnsi="Helvetica" w:cs="Helvetica"/>
          <w:sz w:val="20"/>
        </w:rPr>
        <w:t xml:space="preserve"> iki 4000 mM</w:t>
      </w:r>
      <w:r w:rsidR="00554AEC" w:rsidRPr="00534A01">
        <w:rPr>
          <w:rFonts w:ascii="Helvetica" w:hAnsi="Helvetica" w:cs="Helvetica"/>
          <w:sz w:val="20"/>
          <w:szCs w:val="18"/>
          <w:vertAlign w:val="superscript"/>
        </w:rPr>
        <w:t>-1</w:t>
      </w:r>
      <w:r w:rsidR="00554AEC" w:rsidRPr="00534A01">
        <w:rPr>
          <w:rFonts w:ascii="Helvetica" w:hAnsi="Helvetica" w:cs="Helvetica"/>
          <w:sz w:val="20"/>
        </w:rPr>
        <w:t> s</w:t>
      </w:r>
      <w:r w:rsidR="00554AEC" w:rsidRPr="00534A01">
        <w:rPr>
          <w:rFonts w:ascii="Helvetica" w:hAnsi="Helvetica" w:cs="Helvetica"/>
          <w:sz w:val="20"/>
          <w:szCs w:val="18"/>
          <w:vertAlign w:val="superscript"/>
        </w:rPr>
        <w:t>-1</w:t>
      </w:r>
      <w:r w:rsidR="00554AEC" w:rsidRPr="00534A01">
        <w:rPr>
          <w:rFonts w:ascii="Helvetica" w:hAnsi="Helvetica" w:cs="Helvetica"/>
          <w:sz w:val="20"/>
        </w:rPr>
        <w:t xml:space="preserve"> esant pH 7,4 ir 37 °C temperatūrai; arba</w:t>
      </w:r>
    </w:p>
    <w:p w14:paraId="60C1E880" w14:textId="77777777" w:rsidR="00FC130A" w:rsidRPr="00534A01" w:rsidRDefault="00554AEC" w:rsidP="00534A01">
      <w:pPr>
        <w:pStyle w:val="ListParagraph"/>
        <w:widowControl/>
        <w:spacing w:line="360" w:lineRule="auto"/>
        <w:ind w:left="0"/>
        <w:rPr>
          <w:rFonts w:ascii="Helvetica" w:eastAsia="Times New Roman" w:hAnsi="Helvetica" w:cs="Helvetica"/>
          <w:sz w:val="20"/>
          <w:szCs w:val="18"/>
        </w:rPr>
      </w:pPr>
      <w:r w:rsidRPr="00534A01">
        <w:rPr>
          <w:rFonts w:ascii="Helvetica" w:hAnsi="Helvetica" w:cs="Helvetica"/>
          <w:sz w:val="20"/>
        </w:rPr>
        <w:t xml:space="preserve">žmogaus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I fermentas apima kobalto ir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santykį nuo 2 iki 3 µ</w:t>
      </w:r>
      <w:proofErr w:type="spellStart"/>
      <w:r w:rsidRPr="00534A01">
        <w:rPr>
          <w:rFonts w:ascii="Helvetica" w:hAnsi="Helvetica" w:cs="Helvetica"/>
          <w:sz w:val="20"/>
        </w:rPr>
        <w:t>gCo</w:t>
      </w:r>
      <w:proofErr w:type="spellEnd"/>
      <w:r w:rsidRPr="00534A01">
        <w:rPr>
          <w:rFonts w:ascii="Helvetica" w:hAnsi="Helvetica" w:cs="Helvetica"/>
          <w:sz w:val="20"/>
        </w:rPr>
        <w:t xml:space="preserve">/mg </w:t>
      </w:r>
      <w:proofErr w:type="spellStart"/>
      <w:r w:rsidRPr="00534A01">
        <w:rPr>
          <w:rFonts w:ascii="Helvetica" w:hAnsi="Helvetica" w:cs="Helvetica"/>
          <w:sz w:val="20"/>
        </w:rPr>
        <w:t>arginazės</w:t>
      </w:r>
      <w:proofErr w:type="spellEnd"/>
      <w:r w:rsidRPr="00534A01">
        <w:rPr>
          <w:rFonts w:ascii="Helvetica" w:hAnsi="Helvetica" w:cs="Helvetica"/>
          <w:sz w:val="20"/>
        </w:rPr>
        <w:t>; arba</w:t>
      </w:r>
    </w:p>
    <w:p w14:paraId="747BB156" w14:textId="452777DD" w:rsidR="00FC130A" w:rsidRPr="00534A01" w:rsidRDefault="00554AEC" w:rsidP="00534A01">
      <w:pPr>
        <w:pStyle w:val="ListParagraph"/>
        <w:widowControl/>
        <w:spacing w:line="360" w:lineRule="auto"/>
        <w:ind w:left="0"/>
        <w:rPr>
          <w:rFonts w:ascii="Helvetica" w:hAnsi="Helvetica" w:cs="Helvetica"/>
          <w:sz w:val="20"/>
        </w:rPr>
      </w:pPr>
      <w:r w:rsidRPr="00534A01">
        <w:rPr>
          <w:rFonts w:ascii="Helvetica" w:hAnsi="Helvetica" w:cs="Helvetica"/>
          <w:sz w:val="20"/>
        </w:rPr>
        <w:t xml:space="preserve">žmogaus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I fermentą galima gauti kontaktuojant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w:t>
      </w:r>
      <w:proofErr w:type="spellStart"/>
      <w:r w:rsidRPr="00534A01">
        <w:rPr>
          <w:rFonts w:ascii="Helvetica" w:hAnsi="Helvetica" w:cs="Helvetica"/>
          <w:sz w:val="20"/>
        </w:rPr>
        <w:t>apofermentui</w:t>
      </w:r>
      <w:proofErr w:type="spellEnd"/>
      <w:r w:rsidRPr="00534A01">
        <w:rPr>
          <w:rFonts w:ascii="Helvetica" w:hAnsi="Helvetica" w:cs="Helvetica"/>
          <w:sz w:val="20"/>
        </w:rPr>
        <w:t xml:space="preserve"> su kobaltu arba kobalto jonu nuo 30 °C iki 55 °C temperatūroje 15–60 minučių.</w:t>
      </w:r>
    </w:p>
    <w:p w14:paraId="162E38AC"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20392037" w14:textId="4A9DE4FB" w:rsidR="00FC130A" w:rsidRPr="00534A01" w:rsidRDefault="00534A01" w:rsidP="00534A01">
      <w:pPr>
        <w:pStyle w:val="ListParagraph"/>
        <w:widowControl/>
        <w:spacing w:line="360" w:lineRule="auto"/>
        <w:ind w:left="0" w:firstLine="567"/>
        <w:rPr>
          <w:rFonts w:ascii="Helvetica" w:eastAsia="Times New Roman" w:hAnsi="Helvetica" w:cs="Helvetica"/>
          <w:sz w:val="20"/>
          <w:szCs w:val="18"/>
        </w:rPr>
      </w:pPr>
      <w:r w:rsidRPr="00534A01">
        <w:rPr>
          <w:rFonts w:ascii="Helvetica" w:hAnsi="Helvetica" w:cs="Helvetica"/>
          <w:sz w:val="20"/>
        </w:rPr>
        <w:t xml:space="preserve">10. </w:t>
      </w:r>
      <w:r w:rsidR="00554AEC" w:rsidRPr="00534A01">
        <w:rPr>
          <w:rFonts w:ascii="Helvetica" w:hAnsi="Helvetica" w:cs="Helvetica"/>
          <w:sz w:val="20"/>
        </w:rPr>
        <w:t xml:space="preserve">Derinys, skirtas naudoti vėžiu sergančio paciento vėžiui gydyti, kur derinys apima farmacinę kompoziciją, apimančią </w:t>
      </w:r>
      <w:proofErr w:type="spellStart"/>
      <w:r w:rsidR="00554AEC" w:rsidRPr="00534A01">
        <w:rPr>
          <w:rFonts w:ascii="Helvetica" w:hAnsi="Helvetica" w:cs="Helvetica"/>
          <w:sz w:val="20"/>
        </w:rPr>
        <w:t>pegiliuotą</w:t>
      </w:r>
      <w:proofErr w:type="spellEnd"/>
      <w:r w:rsidR="00554AEC" w:rsidRPr="00534A01">
        <w:rPr>
          <w:rFonts w:ascii="Helvetica" w:hAnsi="Helvetica" w:cs="Helvetica"/>
          <w:sz w:val="20"/>
        </w:rPr>
        <w:t xml:space="preserve"> žmogaus </w:t>
      </w:r>
      <w:proofErr w:type="spellStart"/>
      <w:r w:rsidR="00554AEC" w:rsidRPr="00534A01">
        <w:rPr>
          <w:rFonts w:ascii="Helvetica" w:hAnsi="Helvetica" w:cs="Helvetica"/>
          <w:sz w:val="20"/>
        </w:rPr>
        <w:t>arginazės</w:t>
      </w:r>
      <w:proofErr w:type="spellEnd"/>
      <w:r w:rsidR="00554AEC" w:rsidRPr="00534A01">
        <w:rPr>
          <w:rFonts w:ascii="Helvetica" w:hAnsi="Helvetica" w:cs="Helvetica"/>
          <w:sz w:val="20"/>
        </w:rPr>
        <w:t xml:space="preserve"> I fermentą, apimantį kobalto </w:t>
      </w:r>
      <w:proofErr w:type="spellStart"/>
      <w:r w:rsidR="00554AEC" w:rsidRPr="00534A01">
        <w:rPr>
          <w:rFonts w:ascii="Helvetica" w:hAnsi="Helvetica" w:cs="Helvetica"/>
          <w:sz w:val="20"/>
        </w:rPr>
        <w:t>kofaktorių</w:t>
      </w:r>
      <w:proofErr w:type="spellEnd"/>
      <w:r w:rsidR="00554AEC" w:rsidRPr="00534A01">
        <w:rPr>
          <w:rFonts w:ascii="Helvetica" w:hAnsi="Helvetica" w:cs="Helvetica"/>
          <w:sz w:val="20"/>
        </w:rPr>
        <w:t xml:space="preserve">, ir imuninę </w:t>
      </w:r>
      <w:r w:rsidR="00554AEC" w:rsidRPr="00534A01">
        <w:rPr>
          <w:rFonts w:ascii="Helvetica" w:hAnsi="Helvetica" w:cs="Helvetica"/>
          <w:sz w:val="20"/>
        </w:rPr>
        <w:lastRenderedPageBreak/>
        <w:t xml:space="preserve">sistemą moduliuojančią terapiją, apimančią farmacinę kompoziciją, apimančią </w:t>
      </w:r>
      <w:proofErr w:type="spellStart"/>
      <w:r w:rsidR="00554AEC" w:rsidRPr="00534A01">
        <w:rPr>
          <w:rFonts w:ascii="Helvetica" w:hAnsi="Helvetica" w:cs="Helvetica"/>
          <w:sz w:val="20"/>
        </w:rPr>
        <w:t>imunoonkologinį</w:t>
      </w:r>
      <w:proofErr w:type="spellEnd"/>
      <w:r w:rsidR="00554AEC" w:rsidRPr="00534A01">
        <w:rPr>
          <w:rFonts w:ascii="Helvetica" w:hAnsi="Helvetica" w:cs="Helvetica"/>
          <w:sz w:val="20"/>
        </w:rPr>
        <w:t xml:space="preserve"> agentą, parinktą iš anti-PD-1 antikūno, anti-PD-L1 antikūno, anti-OX40 antikūno arba anti-OX40L antikūno, kur:</w:t>
      </w:r>
    </w:p>
    <w:p w14:paraId="6AF0B985" w14:textId="77777777" w:rsidR="00FC130A" w:rsidRPr="00534A01" w:rsidRDefault="00554AEC" w:rsidP="00534A01">
      <w:pPr>
        <w:pStyle w:val="ListParagraph"/>
        <w:widowControl/>
        <w:spacing w:line="360" w:lineRule="auto"/>
        <w:ind w:left="0"/>
        <w:rPr>
          <w:rFonts w:ascii="Helvetica" w:eastAsia="Times New Roman" w:hAnsi="Helvetica" w:cs="Helvetica"/>
          <w:sz w:val="20"/>
          <w:szCs w:val="18"/>
        </w:rPr>
      </w:pPr>
      <w:r w:rsidRPr="00534A01">
        <w:rPr>
          <w:rFonts w:ascii="Helvetica" w:hAnsi="Helvetica" w:cs="Helvetica"/>
          <w:sz w:val="20"/>
        </w:rPr>
        <w:t xml:space="preserve">farmacinė kompozicija, apimanti </w:t>
      </w:r>
      <w:proofErr w:type="spellStart"/>
      <w:r w:rsidRPr="00534A01">
        <w:rPr>
          <w:rFonts w:ascii="Helvetica" w:hAnsi="Helvetica" w:cs="Helvetica"/>
          <w:sz w:val="20"/>
        </w:rPr>
        <w:t>pegiliuotą</w:t>
      </w:r>
      <w:proofErr w:type="spellEnd"/>
      <w:r w:rsidRPr="00534A01">
        <w:rPr>
          <w:rFonts w:ascii="Helvetica" w:hAnsi="Helvetica" w:cs="Helvetica"/>
          <w:sz w:val="20"/>
        </w:rPr>
        <w:t xml:space="preserve"> žmogaus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I fermentą, apimantį kobalto </w:t>
      </w:r>
      <w:proofErr w:type="spellStart"/>
      <w:r w:rsidRPr="00534A01">
        <w:rPr>
          <w:rFonts w:ascii="Helvetica" w:hAnsi="Helvetica" w:cs="Helvetica"/>
          <w:sz w:val="20"/>
        </w:rPr>
        <w:t>kofaktorių</w:t>
      </w:r>
      <w:proofErr w:type="spellEnd"/>
      <w:r w:rsidRPr="00534A01">
        <w:rPr>
          <w:rFonts w:ascii="Helvetica" w:hAnsi="Helvetica" w:cs="Helvetica"/>
          <w:sz w:val="20"/>
        </w:rPr>
        <w:t xml:space="preserve">, ir farmacinė kompozicija, apimanti </w:t>
      </w:r>
      <w:proofErr w:type="spellStart"/>
      <w:r w:rsidRPr="00534A01">
        <w:rPr>
          <w:rFonts w:ascii="Helvetica" w:hAnsi="Helvetica" w:cs="Helvetica"/>
          <w:sz w:val="20"/>
        </w:rPr>
        <w:t>imunoonkologinį</w:t>
      </w:r>
      <w:proofErr w:type="spellEnd"/>
      <w:r w:rsidRPr="00534A01">
        <w:rPr>
          <w:rFonts w:ascii="Helvetica" w:hAnsi="Helvetica" w:cs="Helvetica"/>
          <w:sz w:val="20"/>
        </w:rPr>
        <w:t xml:space="preserve"> agentą, yra skiriamos vienu metu arba</w:t>
      </w:r>
    </w:p>
    <w:p w14:paraId="1066129D" w14:textId="0640DABB" w:rsidR="00FC130A" w:rsidRPr="00534A01" w:rsidRDefault="00554AEC" w:rsidP="00534A01">
      <w:pPr>
        <w:pStyle w:val="ListParagraph"/>
        <w:widowControl/>
        <w:spacing w:line="360" w:lineRule="auto"/>
        <w:ind w:left="0"/>
        <w:rPr>
          <w:rFonts w:ascii="Helvetica" w:hAnsi="Helvetica" w:cs="Helvetica"/>
          <w:sz w:val="20"/>
        </w:rPr>
      </w:pPr>
      <w:r w:rsidRPr="00534A01">
        <w:rPr>
          <w:rFonts w:ascii="Helvetica" w:hAnsi="Helvetica" w:cs="Helvetica"/>
          <w:sz w:val="20"/>
        </w:rPr>
        <w:t xml:space="preserve">farmacinė kompozicija, apimanti žmogaus </w:t>
      </w:r>
      <w:proofErr w:type="spellStart"/>
      <w:r w:rsidRPr="00534A01">
        <w:rPr>
          <w:rFonts w:ascii="Helvetica" w:hAnsi="Helvetica" w:cs="Helvetica"/>
          <w:sz w:val="20"/>
        </w:rPr>
        <w:t>arginazės</w:t>
      </w:r>
      <w:proofErr w:type="spellEnd"/>
      <w:r w:rsidRPr="00534A01">
        <w:rPr>
          <w:rFonts w:ascii="Helvetica" w:hAnsi="Helvetica" w:cs="Helvetica"/>
          <w:sz w:val="20"/>
        </w:rPr>
        <w:t xml:space="preserve"> I fermentą, apimantį kobalto </w:t>
      </w:r>
      <w:proofErr w:type="spellStart"/>
      <w:r w:rsidRPr="00534A01">
        <w:rPr>
          <w:rFonts w:ascii="Helvetica" w:hAnsi="Helvetica" w:cs="Helvetica"/>
          <w:sz w:val="20"/>
        </w:rPr>
        <w:t>kofaktorių</w:t>
      </w:r>
      <w:proofErr w:type="spellEnd"/>
      <w:r w:rsidRPr="00534A01">
        <w:rPr>
          <w:rFonts w:ascii="Helvetica" w:hAnsi="Helvetica" w:cs="Helvetica"/>
          <w:sz w:val="20"/>
        </w:rPr>
        <w:t xml:space="preserve">, ir farmacinė kompozicija, apimanti </w:t>
      </w:r>
      <w:proofErr w:type="spellStart"/>
      <w:r w:rsidRPr="00534A01">
        <w:rPr>
          <w:rFonts w:ascii="Helvetica" w:hAnsi="Helvetica" w:cs="Helvetica"/>
          <w:sz w:val="20"/>
        </w:rPr>
        <w:t>imunoonkologinį</w:t>
      </w:r>
      <w:proofErr w:type="spellEnd"/>
      <w:r w:rsidRPr="00534A01">
        <w:rPr>
          <w:rFonts w:ascii="Helvetica" w:hAnsi="Helvetica" w:cs="Helvetica"/>
          <w:sz w:val="20"/>
        </w:rPr>
        <w:t xml:space="preserve"> agentą, yra skiriamos nuosekliai.</w:t>
      </w:r>
    </w:p>
    <w:p w14:paraId="0113ECE9"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04BAA014" w14:textId="74746A3A" w:rsidR="00FC130A" w:rsidRPr="00534A01" w:rsidRDefault="00534A01" w:rsidP="00534A01">
      <w:pPr>
        <w:pStyle w:val="ListParagraph"/>
        <w:widowControl/>
        <w:spacing w:line="360" w:lineRule="auto"/>
        <w:ind w:left="0" w:firstLine="567"/>
        <w:rPr>
          <w:rFonts w:ascii="Helvetica" w:hAnsi="Helvetica" w:cs="Helvetica"/>
          <w:sz w:val="20"/>
        </w:rPr>
      </w:pPr>
      <w:r w:rsidRPr="00534A01">
        <w:rPr>
          <w:rFonts w:ascii="Helvetica" w:hAnsi="Helvetica" w:cs="Helvetica"/>
          <w:sz w:val="20"/>
        </w:rPr>
        <w:t>11.</w:t>
      </w:r>
      <w:r w:rsidR="00812120" w:rsidRPr="00534A01">
        <w:rPr>
          <w:rFonts w:ascii="Helvetica" w:hAnsi="Helvetica" w:cs="Helvetica"/>
          <w:sz w:val="20"/>
        </w:rPr>
        <w:t xml:space="preserve"> </w:t>
      </w:r>
      <w:r w:rsidR="00554AEC" w:rsidRPr="00534A01">
        <w:rPr>
          <w:rFonts w:ascii="Helvetica" w:hAnsi="Helvetica" w:cs="Helvetica"/>
          <w:sz w:val="20"/>
        </w:rPr>
        <w:t xml:space="preserve">Derinys, skirtas naudoti pagal 10 punktą, kuriame </w:t>
      </w:r>
      <w:proofErr w:type="spellStart"/>
      <w:r w:rsidR="00554AEC" w:rsidRPr="00534A01">
        <w:rPr>
          <w:rFonts w:ascii="Helvetica" w:hAnsi="Helvetica" w:cs="Helvetica"/>
          <w:sz w:val="20"/>
        </w:rPr>
        <w:t>pegiliuoto</w:t>
      </w:r>
      <w:proofErr w:type="spellEnd"/>
      <w:r w:rsidR="00554AEC" w:rsidRPr="00534A01">
        <w:rPr>
          <w:rFonts w:ascii="Helvetica" w:hAnsi="Helvetica" w:cs="Helvetica"/>
          <w:sz w:val="20"/>
        </w:rPr>
        <w:t xml:space="preserve"> žmogaus </w:t>
      </w:r>
      <w:proofErr w:type="spellStart"/>
      <w:r w:rsidR="00554AEC" w:rsidRPr="00534A01">
        <w:rPr>
          <w:rFonts w:ascii="Helvetica" w:hAnsi="Helvetica" w:cs="Helvetica"/>
          <w:sz w:val="20"/>
        </w:rPr>
        <w:t>arginazės</w:t>
      </w:r>
      <w:proofErr w:type="spellEnd"/>
      <w:r w:rsidR="00554AEC" w:rsidRPr="00534A01">
        <w:rPr>
          <w:rFonts w:ascii="Helvetica" w:hAnsi="Helvetica" w:cs="Helvetica"/>
          <w:sz w:val="20"/>
        </w:rPr>
        <w:t xml:space="preserve"> I fermento, apimančio kobalto </w:t>
      </w:r>
      <w:proofErr w:type="spellStart"/>
      <w:r w:rsidR="00554AEC" w:rsidRPr="00534A01">
        <w:rPr>
          <w:rFonts w:ascii="Helvetica" w:hAnsi="Helvetica" w:cs="Helvetica"/>
          <w:sz w:val="20"/>
        </w:rPr>
        <w:t>kofaktorių</w:t>
      </w:r>
      <w:proofErr w:type="spellEnd"/>
      <w:r w:rsidR="00554AEC" w:rsidRPr="00534A01">
        <w:rPr>
          <w:rFonts w:ascii="Helvetica" w:hAnsi="Helvetica" w:cs="Helvetica"/>
          <w:sz w:val="20"/>
        </w:rPr>
        <w:t>, terapinis kiekis yra nuo 0,01 mg/kg iki 7,5 mg/kg arba nuo 0,05 mg/kg iki 5 mg/kg, arba nuo 0,1 mg/kg iki 5 mg/kg.</w:t>
      </w:r>
    </w:p>
    <w:p w14:paraId="311C2D22"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25775799" w14:textId="20FC2C53" w:rsidR="00FC130A" w:rsidRPr="00534A01" w:rsidRDefault="00534A01" w:rsidP="00534A01">
      <w:pPr>
        <w:pStyle w:val="ListParagraph"/>
        <w:widowControl/>
        <w:spacing w:line="360" w:lineRule="auto"/>
        <w:ind w:left="0" w:firstLine="567"/>
        <w:rPr>
          <w:rFonts w:ascii="Helvetica" w:hAnsi="Helvetica" w:cs="Helvetica"/>
          <w:sz w:val="20"/>
        </w:rPr>
      </w:pPr>
      <w:r w:rsidRPr="00534A01">
        <w:rPr>
          <w:rFonts w:ascii="Helvetica" w:hAnsi="Helvetica" w:cs="Helvetica"/>
          <w:sz w:val="20"/>
        </w:rPr>
        <w:t xml:space="preserve">12. </w:t>
      </w:r>
      <w:r w:rsidR="00554AEC" w:rsidRPr="00534A01">
        <w:rPr>
          <w:rFonts w:ascii="Helvetica" w:hAnsi="Helvetica" w:cs="Helvetica"/>
          <w:sz w:val="20"/>
        </w:rPr>
        <w:t xml:space="preserve">Derinys, skirtas naudoti pagal 10 arba 11 punktą, kur </w:t>
      </w:r>
      <w:proofErr w:type="spellStart"/>
      <w:r w:rsidR="00554AEC" w:rsidRPr="00534A01">
        <w:rPr>
          <w:rFonts w:ascii="Helvetica" w:hAnsi="Helvetica" w:cs="Helvetica"/>
          <w:sz w:val="20"/>
        </w:rPr>
        <w:t>imunoonkologinis</w:t>
      </w:r>
      <w:proofErr w:type="spellEnd"/>
      <w:r w:rsidR="00554AEC" w:rsidRPr="00534A01">
        <w:rPr>
          <w:rFonts w:ascii="Helvetica" w:hAnsi="Helvetica" w:cs="Helvetica"/>
          <w:sz w:val="20"/>
        </w:rPr>
        <w:t xml:space="preserve"> agentas yra parinktas iš </w:t>
      </w:r>
      <w:proofErr w:type="spellStart"/>
      <w:r w:rsidR="00554AEC" w:rsidRPr="00534A01">
        <w:rPr>
          <w:rFonts w:ascii="Helvetica" w:hAnsi="Helvetica" w:cs="Helvetica"/>
          <w:sz w:val="20"/>
        </w:rPr>
        <w:t>pembrolizumabo</w:t>
      </w:r>
      <w:proofErr w:type="spellEnd"/>
      <w:r w:rsidR="00554AEC" w:rsidRPr="00534A01">
        <w:rPr>
          <w:rFonts w:ascii="Helvetica" w:hAnsi="Helvetica" w:cs="Helvetica"/>
          <w:sz w:val="20"/>
        </w:rPr>
        <w:t xml:space="preserve">, </w:t>
      </w:r>
      <w:proofErr w:type="spellStart"/>
      <w:r w:rsidR="00554AEC" w:rsidRPr="00534A01">
        <w:rPr>
          <w:rFonts w:ascii="Helvetica" w:hAnsi="Helvetica" w:cs="Helvetica"/>
          <w:sz w:val="20"/>
        </w:rPr>
        <w:t>atezolizumabo</w:t>
      </w:r>
      <w:proofErr w:type="spellEnd"/>
      <w:r w:rsidR="00554AEC" w:rsidRPr="00534A01">
        <w:rPr>
          <w:rFonts w:ascii="Helvetica" w:hAnsi="Helvetica" w:cs="Helvetica"/>
          <w:sz w:val="20"/>
        </w:rPr>
        <w:t xml:space="preserve"> ir </w:t>
      </w:r>
      <w:proofErr w:type="spellStart"/>
      <w:r w:rsidR="00554AEC" w:rsidRPr="00534A01">
        <w:rPr>
          <w:rFonts w:ascii="Helvetica" w:hAnsi="Helvetica" w:cs="Helvetica"/>
          <w:sz w:val="20"/>
        </w:rPr>
        <w:t>nivolumabo</w:t>
      </w:r>
      <w:proofErr w:type="spellEnd"/>
      <w:r w:rsidR="00554AEC" w:rsidRPr="00534A01">
        <w:rPr>
          <w:rFonts w:ascii="Helvetica" w:hAnsi="Helvetica" w:cs="Helvetica"/>
          <w:sz w:val="20"/>
        </w:rPr>
        <w:t>.</w:t>
      </w:r>
    </w:p>
    <w:p w14:paraId="053D1DC2"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348946EF" w14:textId="14AB5865" w:rsidR="00FC130A" w:rsidRPr="00534A01" w:rsidRDefault="00534A01" w:rsidP="00534A01">
      <w:pPr>
        <w:pStyle w:val="ListParagraph"/>
        <w:widowControl/>
        <w:spacing w:line="360" w:lineRule="auto"/>
        <w:ind w:left="0" w:firstLine="567"/>
        <w:rPr>
          <w:rFonts w:ascii="Helvetica" w:hAnsi="Helvetica" w:cs="Helvetica"/>
          <w:sz w:val="20"/>
        </w:rPr>
      </w:pPr>
      <w:r w:rsidRPr="00534A01">
        <w:rPr>
          <w:rFonts w:ascii="Helvetica" w:hAnsi="Helvetica" w:cs="Helvetica"/>
          <w:sz w:val="20"/>
        </w:rPr>
        <w:t>13.</w:t>
      </w:r>
      <w:r w:rsidR="00812120" w:rsidRPr="00534A01">
        <w:rPr>
          <w:rFonts w:ascii="Helvetica" w:hAnsi="Helvetica" w:cs="Helvetica"/>
          <w:sz w:val="20"/>
        </w:rPr>
        <w:t xml:space="preserve"> </w:t>
      </w:r>
      <w:r w:rsidR="00554AEC" w:rsidRPr="00534A01">
        <w:rPr>
          <w:rFonts w:ascii="Helvetica" w:hAnsi="Helvetica" w:cs="Helvetica"/>
          <w:sz w:val="20"/>
        </w:rPr>
        <w:t xml:space="preserve">Derinys, skirtas naudoti pagal bet kurį iš 10–12 punktų, kur vėžiu sergantis pacientas yra gydomas nuo kepenų ląstelių karcinomos, inkstų ląstelių karcinomos, krūties vėžio, melanomos, prostatos vėžio, kasos vėžio, šlapimo pūslės vėžio, gaubtinės žarnos karcinomos, gaubtinės ir tiesiosios žarnos vėžio, trigubai neigiamo krūties vėžio, </w:t>
      </w:r>
      <w:proofErr w:type="spellStart"/>
      <w:r w:rsidR="00554AEC" w:rsidRPr="00534A01">
        <w:rPr>
          <w:rFonts w:ascii="Helvetica" w:hAnsi="Helvetica" w:cs="Helvetica"/>
          <w:sz w:val="20"/>
        </w:rPr>
        <w:t>Hodžkino</w:t>
      </w:r>
      <w:proofErr w:type="spellEnd"/>
      <w:r w:rsidR="00554AEC" w:rsidRPr="00534A01">
        <w:rPr>
          <w:rFonts w:ascii="Helvetica" w:hAnsi="Helvetica" w:cs="Helvetica"/>
          <w:sz w:val="20"/>
        </w:rPr>
        <w:t xml:space="preserve"> limfomos, skrandžio vėžio, </w:t>
      </w:r>
      <w:proofErr w:type="spellStart"/>
      <w:r w:rsidR="00554AEC" w:rsidRPr="00534A01">
        <w:rPr>
          <w:rFonts w:ascii="Helvetica" w:hAnsi="Helvetica" w:cs="Helvetica"/>
          <w:sz w:val="20"/>
        </w:rPr>
        <w:t>glioblastomos</w:t>
      </w:r>
      <w:proofErr w:type="spellEnd"/>
      <w:r w:rsidR="00554AEC" w:rsidRPr="00534A01">
        <w:rPr>
          <w:rFonts w:ascii="Helvetica" w:hAnsi="Helvetica" w:cs="Helvetica"/>
          <w:sz w:val="20"/>
        </w:rPr>
        <w:t xml:space="preserve">, Merkelio ląstelių karcinomos, plaučių karcinomos, </w:t>
      </w:r>
      <w:proofErr w:type="spellStart"/>
      <w:r w:rsidR="00554AEC" w:rsidRPr="00534A01">
        <w:rPr>
          <w:rFonts w:ascii="Helvetica" w:hAnsi="Helvetica" w:cs="Helvetica"/>
          <w:sz w:val="20"/>
        </w:rPr>
        <w:t>smulkialąstelinio</w:t>
      </w:r>
      <w:proofErr w:type="spellEnd"/>
      <w:r w:rsidR="00554AEC" w:rsidRPr="00534A01">
        <w:rPr>
          <w:rFonts w:ascii="Helvetica" w:hAnsi="Helvetica" w:cs="Helvetica"/>
          <w:sz w:val="20"/>
        </w:rPr>
        <w:t xml:space="preserve"> plaučių vėžio arba </w:t>
      </w:r>
      <w:proofErr w:type="spellStart"/>
      <w:r w:rsidR="00554AEC" w:rsidRPr="00534A01">
        <w:rPr>
          <w:rFonts w:ascii="Helvetica" w:hAnsi="Helvetica" w:cs="Helvetica"/>
          <w:sz w:val="20"/>
        </w:rPr>
        <w:t>nesmulkialąstelinio</w:t>
      </w:r>
      <w:proofErr w:type="spellEnd"/>
      <w:r w:rsidR="00554AEC" w:rsidRPr="00534A01">
        <w:rPr>
          <w:rFonts w:ascii="Helvetica" w:hAnsi="Helvetica" w:cs="Helvetica"/>
          <w:sz w:val="20"/>
        </w:rPr>
        <w:t xml:space="preserve"> plaučių vėžio.</w:t>
      </w:r>
    </w:p>
    <w:p w14:paraId="0C6AE805" w14:textId="77777777" w:rsidR="00534A01" w:rsidRPr="00534A01" w:rsidRDefault="00534A01" w:rsidP="00534A01">
      <w:pPr>
        <w:pStyle w:val="ListParagraph"/>
        <w:widowControl/>
        <w:spacing w:line="360" w:lineRule="auto"/>
        <w:ind w:left="0"/>
        <w:rPr>
          <w:rFonts w:ascii="Helvetica" w:eastAsia="Times New Roman" w:hAnsi="Helvetica" w:cs="Helvetica"/>
          <w:sz w:val="20"/>
          <w:szCs w:val="18"/>
        </w:rPr>
      </w:pPr>
    </w:p>
    <w:p w14:paraId="4054B975" w14:textId="43F2D339" w:rsidR="00554AEC" w:rsidRPr="00534A01" w:rsidRDefault="00534A01" w:rsidP="00534A01">
      <w:pPr>
        <w:spacing w:after="0" w:line="360" w:lineRule="auto"/>
        <w:ind w:firstLine="567"/>
        <w:jc w:val="both"/>
        <w:rPr>
          <w:rFonts w:ascii="Helvetica" w:eastAsia="Times New Roman" w:hAnsi="Helvetica" w:cs="Helvetica"/>
          <w:sz w:val="20"/>
          <w:szCs w:val="18"/>
        </w:rPr>
      </w:pPr>
      <w:r w:rsidRPr="00534A01">
        <w:rPr>
          <w:rFonts w:ascii="Helvetica" w:hAnsi="Helvetica" w:cs="Helvetica"/>
          <w:sz w:val="20"/>
        </w:rPr>
        <w:t xml:space="preserve">14. </w:t>
      </w:r>
      <w:r w:rsidR="00554AEC" w:rsidRPr="00534A01">
        <w:rPr>
          <w:rFonts w:ascii="Helvetica" w:hAnsi="Helvetica" w:cs="Helvetica"/>
          <w:sz w:val="20"/>
        </w:rPr>
        <w:t xml:space="preserve">Derinys, skirtas naudoti pagal bet kurį iš 10–13 punktų, kur farmacinė kompozicija, apimanti </w:t>
      </w:r>
      <w:proofErr w:type="spellStart"/>
      <w:r w:rsidR="00554AEC" w:rsidRPr="00534A01">
        <w:rPr>
          <w:rFonts w:ascii="Helvetica" w:hAnsi="Helvetica" w:cs="Helvetica"/>
          <w:sz w:val="20"/>
        </w:rPr>
        <w:t>pegiliuotą</w:t>
      </w:r>
      <w:proofErr w:type="spellEnd"/>
      <w:r w:rsidR="00554AEC" w:rsidRPr="00534A01">
        <w:rPr>
          <w:rFonts w:ascii="Helvetica" w:hAnsi="Helvetica" w:cs="Helvetica"/>
          <w:sz w:val="20"/>
        </w:rPr>
        <w:t xml:space="preserve"> žmogaus </w:t>
      </w:r>
      <w:proofErr w:type="spellStart"/>
      <w:r w:rsidR="00554AEC" w:rsidRPr="00534A01">
        <w:rPr>
          <w:rFonts w:ascii="Helvetica" w:hAnsi="Helvetica" w:cs="Helvetica"/>
          <w:sz w:val="20"/>
        </w:rPr>
        <w:t>arginazės</w:t>
      </w:r>
      <w:proofErr w:type="spellEnd"/>
      <w:r w:rsidR="00554AEC" w:rsidRPr="00534A01">
        <w:rPr>
          <w:rFonts w:ascii="Helvetica" w:hAnsi="Helvetica" w:cs="Helvetica"/>
          <w:sz w:val="20"/>
        </w:rPr>
        <w:t xml:space="preserve"> I fermentą, apimantį kobalto </w:t>
      </w:r>
      <w:proofErr w:type="spellStart"/>
      <w:r w:rsidR="00554AEC" w:rsidRPr="00534A01">
        <w:rPr>
          <w:rFonts w:ascii="Helvetica" w:hAnsi="Helvetica" w:cs="Helvetica"/>
          <w:sz w:val="20"/>
        </w:rPr>
        <w:t>kofaktorių</w:t>
      </w:r>
      <w:proofErr w:type="spellEnd"/>
      <w:r w:rsidR="00554AEC" w:rsidRPr="00534A01">
        <w:rPr>
          <w:rFonts w:ascii="Helvetica" w:hAnsi="Helvetica" w:cs="Helvetica"/>
          <w:sz w:val="20"/>
        </w:rPr>
        <w:t xml:space="preserve">, yra skiriama </w:t>
      </w:r>
      <w:proofErr w:type="spellStart"/>
      <w:r w:rsidR="00554AEC" w:rsidRPr="00534A01">
        <w:rPr>
          <w:rFonts w:ascii="Helvetica" w:hAnsi="Helvetica" w:cs="Helvetica"/>
          <w:sz w:val="20"/>
        </w:rPr>
        <w:t>parenteriniu</w:t>
      </w:r>
      <w:proofErr w:type="spellEnd"/>
      <w:r w:rsidR="00554AEC" w:rsidRPr="00534A01">
        <w:rPr>
          <w:rFonts w:ascii="Helvetica" w:hAnsi="Helvetica" w:cs="Helvetica"/>
          <w:sz w:val="20"/>
        </w:rPr>
        <w:t xml:space="preserve"> būdu arba lokaliai, į veną, į odą, į arteriją, į pilvaplėvės ertmę, į pažeidimą, </w:t>
      </w:r>
      <w:proofErr w:type="spellStart"/>
      <w:r w:rsidR="00554AEC" w:rsidRPr="00534A01">
        <w:rPr>
          <w:rFonts w:ascii="Helvetica" w:hAnsi="Helvetica" w:cs="Helvetica"/>
          <w:sz w:val="20"/>
        </w:rPr>
        <w:t>intrakranijiniu</w:t>
      </w:r>
      <w:proofErr w:type="spellEnd"/>
      <w:r w:rsidR="00554AEC" w:rsidRPr="00534A01">
        <w:rPr>
          <w:rFonts w:ascii="Helvetica" w:hAnsi="Helvetica" w:cs="Helvetica"/>
          <w:sz w:val="20"/>
        </w:rPr>
        <w:t xml:space="preserve"> būdu, </w:t>
      </w:r>
      <w:proofErr w:type="spellStart"/>
      <w:r w:rsidR="00554AEC" w:rsidRPr="00534A01">
        <w:rPr>
          <w:rFonts w:ascii="Helvetica" w:hAnsi="Helvetica" w:cs="Helvetica"/>
          <w:sz w:val="20"/>
        </w:rPr>
        <w:t>intraartikuliniu</w:t>
      </w:r>
      <w:proofErr w:type="spellEnd"/>
      <w:r w:rsidR="00554AEC" w:rsidRPr="00534A01">
        <w:rPr>
          <w:rFonts w:ascii="Helvetica" w:hAnsi="Helvetica" w:cs="Helvetica"/>
          <w:sz w:val="20"/>
        </w:rPr>
        <w:t xml:space="preserve"> būdu, </w:t>
      </w:r>
      <w:proofErr w:type="spellStart"/>
      <w:r w:rsidR="00554AEC" w:rsidRPr="00534A01">
        <w:rPr>
          <w:rFonts w:ascii="Helvetica" w:hAnsi="Helvetica" w:cs="Helvetica"/>
          <w:sz w:val="20"/>
        </w:rPr>
        <w:t>intraprostatiniu</w:t>
      </w:r>
      <w:proofErr w:type="spellEnd"/>
      <w:r w:rsidR="00554AEC" w:rsidRPr="00534A01">
        <w:rPr>
          <w:rFonts w:ascii="Helvetica" w:hAnsi="Helvetica" w:cs="Helvetica"/>
          <w:sz w:val="20"/>
        </w:rPr>
        <w:t xml:space="preserve"> būdu, </w:t>
      </w:r>
      <w:proofErr w:type="spellStart"/>
      <w:r w:rsidR="00554AEC" w:rsidRPr="00534A01">
        <w:rPr>
          <w:rFonts w:ascii="Helvetica" w:hAnsi="Helvetica" w:cs="Helvetica"/>
          <w:sz w:val="20"/>
        </w:rPr>
        <w:t>intrapleuriniu</w:t>
      </w:r>
      <w:proofErr w:type="spellEnd"/>
      <w:r w:rsidR="00554AEC" w:rsidRPr="00534A01">
        <w:rPr>
          <w:rFonts w:ascii="Helvetica" w:hAnsi="Helvetica" w:cs="Helvetica"/>
          <w:sz w:val="20"/>
        </w:rPr>
        <w:t xml:space="preserve"> būdu, </w:t>
      </w:r>
      <w:proofErr w:type="spellStart"/>
      <w:r w:rsidR="00554AEC" w:rsidRPr="00534A01">
        <w:rPr>
          <w:rFonts w:ascii="Helvetica" w:hAnsi="Helvetica" w:cs="Helvetica"/>
          <w:sz w:val="20"/>
        </w:rPr>
        <w:t>intratrachėjiniu</w:t>
      </w:r>
      <w:proofErr w:type="spellEnd"/>
      <w:r w:rsidR="00554AEC" w:rsidRPr="00534A01">
        <w:rPr>
          <w:rFonts w:ascii="Helvetica" w:hAnsi="Helvetica" w:cs="Helvetica"/>
          <w:sz w:val="20"/>
        </w:rPr>
        <w:t xml:space="preserve"> būdu, į akis, į nosį, į stiklakūnį, į makštį, į tiesiąją žarną, į raumenis, po oda, į junginę, į pūslelinę, į gleivinę, į </w:t>
      </w:r>
      <w:proofErr w:type="spellStart"/>
      <w:r w:rsidR="00554AEC" w:rsidRPr="00534A01">
        <w:rPr>
          <w:rFonts w:ascii="Helvetica" w:hAnsi="Helvetica" w:cs="Helvetica"/>
          <w:sz w:val="20"/>
        </w:rPr>
        <w:t>perikardiją</w:t>
      </w:r>
      <w:proofErr w:type="spellEnd"/>
      <w:r w:rsidR="00554AEC" w:rsidRPr="00534A01">
        <w:rPr>
          <w:rFonts w:ascii="Helvetica" w:hAnsi="Helvetica" w:cs="Helvetica"/>
          <w:sz w:val="20"/>
        </w:rPr>
        <w:t xml:space="preserve">, į bambą, per burną, </w:t>
      </w:r>
      <w:proofErr w:type="spellStart"/>
      <w:r w:rsidR="00554AEC" w:rsidRPr="00534A01">
        <w:rPr>
          <w:rFonts w:ascii="Helvetica" w:hAnsi="Helvetica" w:cs="Helvetica"/>
          <w:sz w:val="20"/>
        </w:rPr>
        <w:t>inhaliuojant</w:t>
      </w:r>
      <w:proofErr w:type="spellEnd"/>
      <w:r w:rsidR="00554AEC" w:rsidRPr="00534A01">
        <w:rPr>
          <w:rFonts w:ascii="Helvetica" w:hAnsi="Helvetica" w:cs="Helvetica"/>
          <w:sz w:val="20"/>
        </w:rPr>
        <w:t xml:space="preserve">, per nuolatinę infuziją, naudojant vietines </w:t>
      </w:r>
      <w:proofErr w:type="spellStart"/>
      <w:r w:rsidR="00554AEC" w:rsidRPr="00534A01">
        <w:rPr>
          <w:rFonts w:ascii="Helvetica" w:hAnsi="Helvetica" w:cs="Helvetica"/>
          <w:sz w:val="20"/>
        </w:rPr>
        <w:t>perfuzijas</w:t>
      </w:r>
      <w:proofErr w:type="spellEnd"/>
      <w:r w:rsidR="00554AEC" w:rsidRPr="00534A01">
        <w:rPr>
          <w:rFonts w:ascii="Helvetica" w:hAnsi="Helvetica" w:cs="Helvetica"/>
          <w:sz w:val="20"/>
        </w:rPr>
        <w:t xml:space="preserve"> tiesiogiai į tikslines ląsteles, per kateterį arba plaunant.</w:t>
      </w:r>
      <w:bookmarkEnd w:id="0"/>
    </w:p>
    <w:sectPr w:rsidR="00554AEC" w:rsidRPr="00534A01" w:rsidSect="00534A01">
      <w:pgSz w:w="11906" w:h="16838" w:code="1"/>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82F2" w14:textId="77777777" w:rsidR="005C5FF9" w:rsidRDefault="005C5FF9" w:rsidP="00FC130A">
      <w:pPr>
        <w:spacing w:after="0" w:line="240" w:lineRule="auto"/>
      </w:pPr>
      <w:r>
        <w:separator/>
      </w:r>
    </w:p>
  </w:endnote>
  <w:endnote w:type="continuationSeparator" w:id="0">
    <w:p w14:paraId="5EE04417" w14:textId="77777777" w:rsidR="005C5FF9" w:rsidRDefault="005C5FF9" w:rsidP="00FC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31DCF" w14:textId="77777777" w:rsidR="005C5FF9" w:rsidRDefault="005C5FF9" w:rsidP="00FC130A">
      <w:pPr>
        <w:spacing w:after="0" w:line="240" w:lineRule="auto"/>
      </w:pPr>
      <w:r>
        <w:separator/>
      </w:r>
    </w:p>
  </w:footnote>
  <w:footnote w:type="continuationSeparator" w:id="0">
    <w:p w14:paraId="3447F6FE" w14:textId="77777777" w:rsidR="005C5FF9" w:rsidRDefault="005C5FF9" w:rsidP="00FC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1BE"/>
    <w:multiLevelType w:val="hybridMultilevel"/>
    <w:tmpl w:val="BCB648B2"/>
    <w:lvl w:ilvl="0" w:tplc="2EDE81E4">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EC"/>
    <w:rsid w:val="00067150"/>
    <w:rsid w:val="00121B3F"/>
    <w:rsid w:val="001D5865"/>
    <w:rsid w:val="00534A01"/>
    <w:rsid w:val="00554AEC"/>
    <w:rsid w:val="005C5FF9"/>
    <w:rsid w:val="00812120"/>
    <w:rsid w:val="00892152"/>
    <w:rsid w:val="00A71C1C"/>
    <w:rsid w:val="00DF78AA"/>
    <w:rsid w:val="00FC1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551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AEC"/>
    <w:pPr>
      <w:widowControl w:val="0"/>
      <w:spacing w:after="0" w:line="240" w:lineRule="auto"/>
      <w:ind w:left="720"/>
      <w:contextualSpacing/>
      <w:jc w:val="both"/>
    </w:pPr>
    <w:rPr>
      <w:rFonts w:ascii="Arial" w:hAnsi="Arial"/>
      <w:sz w:val="18"/>
    </w:rPr>
  </w:style>
  <w:style w:type="paragraph" w:styleId="Header">
    <w:name w:val="header"/>
    <w:basedOn w:val="Normal"/>
    <w:link w:val="HeaderChar"/>
    <w:uiPriority w:val="99"/>
    <w:unhideWhenUsed/>
    <w:rsid w:val="00FC130A"/>
    <w:pPr>
      <w:tabs>
        <w:tab w:val="center" w:pos="4252"/>
        <w:tab w:val="right" w:pos="8504"/>
      </w:tabs>
      <w:spacing w:after="0" w:line="240" w:lineRule="auto"/>
    </w:pPr>
  </w:style>
  <w:style w:type="character" w:customStyle="1" w:styleId="HeaderChar">
    <w:name w:val="Header Char"/>
    <w:basedOn w:val="DefaultParagraphFont"/>
    <w:link w:val="Header"/>
    <w:uiPriority w:val="99"/>
    <w:rsid w:val="00FC130A"/>
  </w:style>
  <w:style w:type="paragraph" w:styleId="Footer">
    <w:name w:val="footer"/>
    <w:basedOn w:val="Normal"/>
    <w:link w:val="FooterChar"/>
    <w:uiPriority w:val="99"/>
    <w:unhideWhenUsed/>
    <w:rsid w:val="00FC13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FC1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4311</Characters>
  <Application>Microsoft Office Word</Application>
  <DocSecurity>0</DocSecurity>
  <Lines>74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2022-03-25T12:31:00Z</dcterms:created>
  <dcterms:modified xsi:type="dcterms:W3CDTF">2022-03-25T12:31:00Z</dcterms:modified>
</cp:coreProperties>
</file>