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6BD4" w14:textId="41B8A85D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1.</w:t>
      </w:r>
      <w:r w:rsidR="00872C2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preparatas, stabilus laikant 2-8 °C temperatūroje ne mažiau kaip šešis mėnesius, kurio klampa, matuojant 25 °C temperatūroje ir esant 100 000-250 000 l/sek. šlyties greičiui, yra nuo 2 iki 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centipoizė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)), tinkamas vartojimui ne per burną žinduolių organizme, apimantis:</w:t>
      </w:r>
    </w:p>
    <w:p w14:paraId="6F2C6CFE" w14:textId="4221E439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(a) vandeninį tirpalą, apimantį buferinę sistemą, kurios pH yra nuo 5,0 iki 7,0, kai buferinė sistema apima bent vieną buferinę medžiagą, pasirinktą iš grupės, kurią sudaro citratas arba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histidinas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165E4955" w14:textId="525C8528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(b)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monokloninį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antikūną arba jo fragmentą, kuris specifiškai jungiasi su žmogaus MASP-2 ir apima i) sunkiosios grandinės kintamąją sritį, apimančią SEQ ID Nr. 2 nurodytas aminorūgščių sekas, ir ii) lengvosios grandinės kintamąją sritį, apimančią SEQ ID Nr. 3 nurodytas aminorūgščių sekas, ir kurio antikūno arba jo fragmento koncentracija yra nuo 50 mg/ml iki 250 mg/ml; ir</w:t>
      </w:r>
    </w:p>
    <w:p w14:paraId="3A2FFB80" w14:textId="718E0B09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tonizuojančią medžiagą, kurios kiekis yra pakankamas, kad preparatas būtų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hipertoninis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.</w:t>
      </w:r>
    </w:p>
    <w:p w14:paraId="5DD02B20" w14:textId="47B5FF3B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16134B5C" w14:textId="6F4BBFCC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2.</w:t>
      </w:r>
      <w:r w:rsidR="00872C2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Farmacinis preparatas pagal 1 punktą, kur tinka bent vienas ar daugiau iš toliau nurodytų:</w:t>
      </w:r>
    </w:p>
    <w:p w14:paraId="7D3ECF00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(a) kur antikūno koncentracija preparate yra nuo 100 mg/ml iki 225 mg/ml arba nuo 150 mg/ml iki 200 mg/ml, arba nuo 175 mg/ml iki 195 mg/ml;</w:t>
      </w:r>
    </w:p>
    <w:p w14:paraId="6D98373F" w14:textId="4D31C09D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(b) kur preparato klampa yra nuo 2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 iki 40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arba nuo 2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 iki 30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arba nuo 2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 iki 25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arba nuo 2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 iki 20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arba nuo 2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 iki 18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);</w:t>
      </w:r>
    </w:p>
    <w:p w14:paraId="038C5CA8" w14:textId="53CE1758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kur klampa yra mažesnė kaip 25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pavyzdžiui, mažesnė kaip 20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), arba mažesnė kaip 18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);</w:t>
      </w:r>
    </w:p>
    <w:p w14:paraId="3ACB5ABE" w14:textId="6C4C7BAE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(d) kur antikūno koncentracija yra 185 mg/ml;</w:t>
      </w:r>
    </w:p>
    <w:p w14:paraId="26651054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(e) kur preparatas yra stabilus laikant nuo 2 °C iki 8 °C temperatūroje ne mažiau kaip 12 mėnesių;</w:t>
      </w:r>
    </w:p>
    <w:p w14:paraId="0E30302C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(f) kur preparato injekcijos slydimo jėga yra 25 Niutonai arba mažesnė, kai jis švirkščiamas per 27GA 31,75 mm (1,25") adatą kambario temperatūroje; arba</w:t>
      </w:r>
    </w:p>
    <w:p w14:paraId="69B4D0AA" w14:textId="6238F610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(g)</w:t>
      </w:r>
      <w:r w:rsidR="0098717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kur preparato injekcijos slydimo jėga yra 20 Niutonų arba mažesnė, kai jis švirkščiamas per 25GA 25,4 mm (1") adatą kambario temperatūroje.</w:t>
      </w:r>
    </w:p>
    <w:p w14:paraId="58B5EAF0" w14:textId="0C85BCB3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5602E994" w14:textId="05CCB3F0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3.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 pagal 1 punktą, kuriame bent vienas buferinis agentas yra citratas, pvz., natrio citratas, kurio koncentracija tirpale yra nuo 10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.</w:t>
      </w:r>
    </w:p>
    <w:p w14:paraId="2DECBBCF" w14:textId="77777777" w:rsidR="00987179" w:rsidRPr="00872C29" w:rsidRDefault="00987179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8C7BE4A" w14:textId="66EE7159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4.</w:t>
      </w:r>
      <w:r w:rsidR="00872C2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Farmacinis preparatas pagal 1 punktą, kuriame tonizuojanti medžiaga yra aminorūgštis su teigiamai įkrauta šonine grandine, pasirinkta iš grupės, kurią sudaro:</w:t>
      </w:r>
    </w:p>
    <w:p w14:paraId="31DBE976" w14:textId="281F5311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(a) kur aminorūgšties su teigiamai įkrauta šonine grandine koncentracija preparate yra nuo 150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300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5C981FC5" w14:textId="1BF26BE6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(b) kur teigiamai įkrauta šoninė grandinė yra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arba L-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HCl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, ir</w:t>
      </w:r>
    </w:p>
    <w:p w14:paraId="5307A27B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kur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arginino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tirpale yra nuo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300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hipertoninės koncentracijos.</w:t>
      </w:r>
    </w:p>
    <w:p w14:paraId="66F12152" w14:textId="52463E02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3317C1EA" w14:textId="300830C8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5.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 pagal 3 punktą, kur tirpalas apima apie 20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citrato, o jo pH yra nuo 5,5 iki 6,5, pasirinktinai, kur tirpalas papildomai apima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argininą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kurio koncentracija yra apie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.</w:t>
      </w:r>
    </w:p>
    <w:p w14:paraId="4B98426C" w14:textId="3D04F20F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954D0E2" w14:textId="4EBC7F05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6.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 pagal 1 punktą, kur tirpalas taip pat apima paviršinio aktyvumo medžiagą, kurios koncentracija yra nuo 0,001 % (m/t) iki 0,1 % (m/t), pasirinktinai kur paviršinio aktyvumo medžiaga yra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nejoninė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paviršinio aktyvumo medžiaga, tokia kaip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arba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poloksameras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pvz.,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80.</w:t>
      </w:r>
    </w:p>
    <w:p w14:paraId="2B38F7D6" w14:textId="4DAE37E1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38894F9" w14:textId="7A734C6F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7.</w:t>
      </w:r>
      <w:r w:rsidR="00872C2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Farmacinis preparatas pagal 1 punktą, kur tinka bent vienas ar daugiau iš toliau nurodytų:</w:t>
      </w:r>
    </w:p>
    <w:p w14:paraId="69C7F231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lastRenderedPageBreak/>
        <w:t xml:space="preserve">(a) kur preparato sudėtyje nėra sacharozės arba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sorbitolio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36A3248F" w14:textId="5CBD2F72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(b)</w:t>
      </w:r>
      <w:r w:rsidR="0098717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kur į preparato sudėtį neįeina CaCl</w:t>
      </w:r>
      <w:r w:rsidRPr="00872C29">
        <w:rPr>
          <w:rFonts w:ascii="Helvetica" w:hAnsi="Helvetica"/>
          <w:color w:val="000000"/>
          <w:kern w:val="0"/>
          <w:sz w:val="20"/>
          <w:vertAlign w:val="subscript"/>
          <w14:ligatures w14:val="none"/>
        </w:rPr>
        <w:t>2</w:t>
      </w:r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2BBE44DD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(c) kur į preparato sudėtį neįeina MgCl</w:t>
      </w:r>
      <w:r w:rsidRPr="00872C29">
        <w:rPr>
          <w:rFonts w:ascii="Helvetica" w:hAnsi="Helvetica"/>
          <w:color w:val="000000"/>
          <w:kern w:val="0"/>
          <w:sz w:val="20"/>
          <w:vertAlign w:val="subscript"/>
          <w14:ligatures w14:val="none"/>
        </w:rPr>
        <w:t>2</w:t>
      </w:r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3D648DA1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(d) kur preparato sudėtyje nėra CaCl</w:t>
      </w:r>
      <w:r w:rsidRPr="00872C29">
        <w:rPr>
          <w:rFonts w:ascii="Helvetica" w:hAnsi="Helvetica"/>
          <w:color w:val="000000"/>
          <w:kern w:val="0"/>
          <w:sz w:val="20"/>
          <w:vertAlign w:val="subscript"/>
          <w14:ligatures w14:val="none"/>
        </w:rPr>
        <w:t>2</w:t>
      </w:r>
      <w:r w:rsidRPr="00872C29">
        <w:rPr>
          <w:rFonts w:ascii="Helvetica" w:hAnsi="Helvetica"/>
          <w:color w:val="000000"/>
          <w:kern w:val="0"/>
          <w:sz w:val="20"/>
        </w:rPr>
        <w:t xml:space="preserve"> ir kur sudėtyje nėra MgCl</w:t>
      </w:r>
      <w:r w:rsidRPr="00872C29">
        <w:rPr>
          <w:rFonts w:ascii="Helvetica" w:hAnsi="Helvetica"/>
          <w:color w:val="000000"/>
          <w:kern w:val="0"/>
          <w:sz w:val="20"/>
          <w:vertAlign w:val="subscript"/>
          <w14:ligatures w14:val="none"/>
        </w:rPr>
        <w:t>2</w:t>
      </w:r>
      <w:r w:rsidRPr="00872C29">
        <w:rPr>
          <w:rFonts w:ascii="Helvetica" w:hAnsi="Helvetica"/>
          <w:color w:val="000000"/>
          <w:kern w:val="0"/>
          <w:sz w:val="20"/>
        </w:rPr>
        <w:t>; arba</w:t>
      </w:r>
    </w:p>
    <w:p w14:paraId="559A2DEE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(e) kur preparato sudėtyje nėra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dvivalenčio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katijono priedo.</w:t>
      </w:r>
    </w:p>
    <w:p w14:paraId="16E0F880" w14:textId="40081406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FAA15B3" w14:textId="41D748AD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8.</w:t>
      </w:r>
      <w:r w:rsidR="0098717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Farmacinis preparatas pagal 1 punktą, kur preparatas pasirinktas iš grupės, sudarytos iš:</w:t>
      </w:r>
    </w:p>
    <w:p w14:paraId="4B0F4DA4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(i) preparato, apimančio</w:t>
      </w:r>
    </w:p>
    <w:p w14:paraId="25226FB6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(a)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polisorbatą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80, kurio koncentracija yra nuo 0,01 iki 0,08 % m/t;</w:t>
      </w:r>
    </w:p>
    <w:p w14:paraId="35245882" w14:textId="23B63955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(b) L-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argininą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HCl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kurio koncentracija yra nuo 150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4E644054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natrio citratą, kurio koncentracija yra nuo 10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 ir</w:t>
      </w:r>
    </w:p>
    <w:p w14:paraId="7704ACD4" w14:textId="67D057CE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(d) nuo 150 mg/ml iki 200 mg/ml antikūno; ir</w:t>
      </w:r>
    </w:p>
    <w:p w14:paraId="09674AD0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(ii) preparato, apimančio</w:t>
      </w:r>
    </w:p>
    <w:p w14:paraId="5AADC289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(a)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polisorbatą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80, kurio koncentracija yra apie 0,01 w/t;</w:t>
      </w:r>
    </w:p>
    <w:p w14:paraId="570CEBB8" w14:textId="39888B9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(b) L-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argininą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HCl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kurio koncentracija yra apie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25BBC58A" w14:textId="1516EAD8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natrio citratą, kurio koncentracija yra apie 20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 ir</w:t>
      </w:r>
    </w:p>
    <w:p w14:paraId="2F9614DA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(d) antikūnų nuo 175 mg/ml iki 195 mg/ml.</w:t>
      </w:r>
    </w:p>
    <w:p w14:paraId="2BAAC13E" w14:textId="583EAAC2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50C43D64" w14:textId="7C072895" w:rsidR="00CC2103" w:rsidRPr="00872C29" w:rsidRDefault="00CC2103" w:rsidP="00872C29">
      <w:pPr>
        <w:spacing w:after="0" w:line="360" w:lineRule="auto"/>
        <w:ind w:firstLine="567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9.</w:t>
      </w:r>
      <w:r w:rsidR="00987179" w:rsidRPr="00872C29">
        <w:rPr>
          <w:rFonts w:ascii="Helvetica" w:hAnsi="Helvetica"/>
          <w:color w:val="000000"/>
          <w:kern w:val="0"/>
          <w:sz w:val="20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Farmacinis preparatas pagal 1 punktą, kurį iš esmės sudaro:</w:t>
      </w:r>
    </w:p>
    <w:p w14:paraId="13740550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(a)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80, kurio koncentracija yra nuo 0,01 iki 0,08 % m/t;</w:t>
      </w:r>
    </w:p>
    <w:p w14:paraId="64FC9BB0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>(b) L-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argininas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HCl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kurio koncentracija yra nuo 150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</w:t>
      </w:r>
    </w:p>
    <w:p w14:paraId="49ED8FAB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(c) natrio citratas, kurio koncentracija yra nuo 10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iki 50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; ir</w:t>
      </w:r>
    </w:p>
    <w:p w14:paraId="39AD8011" w14:textId="7777777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  <w:r w:rsidRPr="00872C29">
        <w:rPr>
          <w:rFonts w:ascii="Helvetica" w:hAnsi="Helvetica"/>
          <w:color w:val="000000"/>
          <w:kern w:val="0"/>
          <w:sz w:val="20"/>
        </w:rPr>
        <w:t xml:space="preserve">(d)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monokloninis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antikūnas arba jo fragmentas, specifiškai prisijungiantis prie žmogaus MASP-2, kurio koncentracija yra nuo 150 mg/ml iki 200 mg/ml, kai minėtas antikūnas arba jo fragmentas apima i) sunkiosios grandinės kintamąją sritį, sudarytą iš SEQ ID Nr. 2 pateiktos aminorūgščių sekos, ir ii) lengvosios grandinės kintamąją sritį, sudarytą iš SEQ ID Nr. 3 pateiktos aminorūgščių sekos.</w:t>
      </w:r>
    </w:p>
    <w:p w14:paraId="5016EA0F" w14:textId="34C5D2E6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69991AB1" w14:textId="3B88F5B2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10.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Uždaryta talpykla, kurioje yra preparatas pagal 1 arba 9 punktą.</w:t>
      </w:r>
    </w:p>
    <w:p w14:paraId="1A1E3225" w14:textId="2943C987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769E90B" w14:textId="27ED5D1F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11.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Poodinio vartojimo įtaisas, kuriame yra 1 arba 9 punkte nurodytas preparatas.</w:t>
      </w:r>
    </w:p>
    <w:p w14:paraId="1376701D" w14:textId="2DC8F653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0CAE4352" w14:textId="7E115B61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12.</w:t>
      </w:r>
      <w:r w:rsidR="00872C2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Rinkinys, apimantis iš anksto pripildytą talpyklą, apimančią farmacinį preparatą su 1 arba 9 punkte nurodytu MASP-2 antikūnu, ir preparato naudojimo instrukcija, pavyzdžiui, kai iš anksto pripildyta talpykla yra pasirinkta iš grupės, kurią sudaro: švirkštas,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pieštukinis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injektorius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užplombuotas buteliukas, automatinis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injektorius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ir pompos prietaisas, pasirinktinai, kai rinkinys taip pat apima bent vieną injekcinį prietaisą, tinkamą užplombuotame buteliuke esančiam preparatui suleisti žmogui.</w:t>
      </w:r>
    </w:p>
    <w:p w14:paraId="41B7C4A1" w14:textId="7024CC56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454CC07C" w14:textId="6CF218D0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13.</w:t>
      </w:r>
      <w:r w:rsidR="0098717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Vartojimui ne per burną žmogui tinkama farmacinė vienetinė dozavimo forma, apimanti 1 arba 9 punkte nurodytą preparatą tinkamoje talpykloje.</w:t>
      </w:r>
    </w:p>
    <w:p w14:paraId="41FF21E4" w14:textId="35337B8C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0535FD75" w14:textId="4F2553FE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14.</w:t>
      </w:r>
      <w:r w:rsidR="0098717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1 arba 9 punkte nurodytas preparatas, skirtas gydyti nuo MASP-2 priklausomą su komplektu susijusią ligą ar sutrikimą, pasirinktinai, kai preparatas tinka vartoti po oda, pasirinktinai, kai preparatas yra iš anksto užpildytame švirkšte.</w:t>
      </w:r>
    </w:p>
    <w:p w14:paraId="73C3F3A7" w14:textId="6877FE98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2841E12D" w14:textId="56454F29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lastRenderedPageBreak/>
        <w:t>15.</w:t>
      </w:r>
      <w:r w:rsidR="0098717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 pagal 1 punktą, kur preparato apima nuo 0,001 % m/t iki 0,05 % m/t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polisorbato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80, apie 20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natrio citrato ir apie 200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mM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L-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arginino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HCl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, kur antikūno koncentracija preparate yra nuo 175 mg/ml iki 195 mg/ml, ir kur klampa yra mažesnė nei 25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mPa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-s (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cP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>).</w:t>
      </w:r>
    </w:p>
    <w:p w14:paraId="3F6746FA" w14:textId="62F8B5B6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75403623" w14:textId="2E0AA714" w:rsidR="00987179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16.</w:t>
      </w:r>
      <w:r w:rsidR="0098717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>Farmacinis preparatas pagal 1 punktą, kur preparatas yra sterilus.</w:t>
      </w:r>
    </w:p>
    <w:p w14:paraId="781AC1A7" w14:textId="4BC1831D" w:rsidR="00CC2103" w:rsidRPr="00872C29" w:rsidRDefault="00CC2103" w:rsidP="00872C29">
      <w:pPr>
        <w:spacing w:after="0" w:line="360" w:lineRule="auto"/>
        <w:jc w:val="both"/>
        <w:rPr>
          <w:rFonts w:ascii="Helvetica" w:eastAsia="Times New Roman" w:hAnsi="Helvetica"/>
          <w:color w:val="000000"/>
          <w:kern w:val="0"/>
          <w:sz w:val="20"/>
          <w14:ligatures w14:val="none"/>
        </w:rPr>
      </w:pPr>
    </w:p>
    <w:p w14:paraId="27FC2586" w14:textId="0B652322" w:rsidR="00A57087" w:rsidRPr="00872C29" w:rsidRDefault="00CC2103" w:rsidP="00872C29">
      <w:pPr>
        <w:spacing w:after="0" w:line="360" w:lineRule="auto"/>
        <w:ind w:firstLine="567"/>
        <w:jc w:val="both"/>
        <w:rPr>
          <w:rFonts w:ascii="Helvetica" w:hAnsi="Helvetica"/>
          <w:color w:val="000000"/>
          <w:kern w:val="0"/>
          <w:sz w:val="20"/>
        </w:rPr>
      </w:pPr>
      <w:r w:rsidRPr="00872C29">
        <w:rPr>
          <w:rFonts w:ascii="Helvetica" w:hAnsi="Helvetica"/>
          <w:color w:val="000000"/>
          <w:kern w:val="0"/>
          <w:sz w:val="20"/>
          <w14:ligatures w14:val="none"/>
        </w:rPr>
        <w:t>17.</w:t>
      </w:r>
      <w:r w:rsidR="00987179" w:rsidRPr="00872C29">
        <w:rPr>
          <w:rFonts w:ascii="Helvetica" w:hAnsi="Helvetica"/>
          <w:color w:val="000000"/>
          <w:kern w:val="0"/>
          <w:sz w:val="20"/>
          <w14:ligatures w14:val="none"/>
        </w:rPr>
        <w:t xml:space="preserve"> </w:t>
      </w:r>
      <w:r w:rsidRPr="00872C29">
        <w:rPr>
          <w:rFonts w:ascii="Helvetica" w:hAnsi="Helvetica"/>
          <w:color w:val="000000"/>
          <w:kern w:val="0"/>
          <w:sz w:val="20"/>
        </w:rPr>
        <w:t xml:space="preserve">Farmacinis preparatas pagal 1 punktą, kur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monokloninis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antikūnas yra pilno ilgio </w:t>
      </w:r>
      <w:proofErr w:type="spellStart"/>
      <w:r w:rsidRPr="00872C29">
        <w:rPr>
          <w:rFonts w:ascii="Helvetica" w:hAnsi="Helvetica"/>
          <w:color w:val="000000"/>
          <w:kern w:val="0"/>
          <w:sz w:val="20"/>
        </w:rPr>
        <w:t>monokloninis</w:t>
      </w:r>
      <w:proofErr w:type="spellEnd"/>
      <w:r w:rsidRPr="00872C29">
        <w:rPr>
          <w:rFonts w:ascii="Helvetica" w:hAnsi="Helvetica"/>
          <w:color w:val="000000"/>
          <w:kern w:val="0"/>
          <w:sz w:val="20"/>
        </w:rPr>
        <w:t xml:space="preserve"> antikūnas, pasirinktinai, kur antikūnas yra žmogaus IgG4 pilno ilgio antikūnas, pvz., žmogaus IgG4 antikūnas, turintis mutaciją sujungimo srityje.</w:t>
      </w:r>
    </w:p>
    <w:sectPr w:rsidR="00A57087" w:rsidRPr="00872C29" w:rsidSect="00872C29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C5D53" w14:textId="77777777" w:rsidR="00D94C5C" w:rsidRDefault="00D94C5C" w:rsidP="00987179">
      <w:pPr>
        <w:spacing w:after="0" w:line="240" w:lineRule="auto"/>
      </w:pPr>
      <w:r>
        <w:separator/>
      </w:r>
    </w:p>
  </w:endnote>
  <w:endnote w:type="continuationSeparator" w:id="0">
    <w:p w14:paraId="1FDD097E" w14:textId="77777777" w:rsidR="00D94C5C" w:rsidRDefault="00D94C5C" w:rsidP="0098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BEFA" w14:textId="77777777" w:rsidR="00D94C5C" w:rsidRDefault="00D94C5C" w:rsidP="00987179">
      <w:pPr>
        <w:spacing w:after="0" w:line="240" w:lineRule="auto"/>
      </w:pPr>
      <w:r>
        <w:separator/>
      </w:r>
    </w:p>
  </w:footnote>
  <w:footnote w:type="continuationSeparator" w:id="0">
    <w:p w14:paraId="1DF3B0B9" w14:textId="77777777" w:rsidR="00D94C5C" w:rsidRDefault="00D94C5C" w:rsidP="00987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03"/>
    <w:rsid w:val="0023369F"/>
    <w:rsid w:val="003C648E"/>
    <w:rsid w:val="004133D2"/>
    <w:rsid w:val="00485B48"/>
    <w:rsid w:val="004A565B"/>
    <w:rsid w:val="00502561"/>
    <w:rsid w:val="00525575"/>
    <w:rsid w:val="006E3820"/>
    <w:rsid w:val="00731EE9"/>
    <w:rsid w:val="007E59C5"/>
    <w:rsid w:val="00825910"/>
    <w:rsid w:val="0086452A"/>
    <w:rsid w:val="00872C29"/>
    <w:rsid w:val="009419AC"/>
    <w:rsid w:val="00987179"/>
    <w:rsid w:val="00A40D7F"/>
    <w:rsid w:val="00A57087"/>
    <w:rsid w:val="00AB1897"/>
    <w:rsid w:val="00B135FF"/>
    <w:rsid w:val="00C45A2B"/>
    <w:rsid w:val="00CC2103"/>
    <w:rsid w:val="00D94C5C"/>
    <w:rsid w:val="00F50AAA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154B0"/>
  <w15:chartTrackingRefBased/>
  <w15:docId w15:val="{4D354D37-CDFA-4EE9-A917-7E061643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103"/>
  </w:style>
  <w:style w:type="paragraph" w:styleId="Antrat1">
    <w:name w:val="heading 1"/>
    <w:basedOn w:val="prastasis"/>
    <w:next w:val="prastasis"/>
    <w:link w:val="Antrat1Diagrama"/>
    <w:uiPriority w:val="9"/>
    <w:qFormat/>
    <w:rsid w:val="00CC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1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1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1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1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1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1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1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1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21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1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103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98717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8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79"/>
  </w:style>
  <w:style w:type="paragraph" w:styleId="Porat">
    <w:name w:val="footer"/>
    <w:basedOn w:val="prastasis"/>
    <w:link w:val="PoratDiagrama"/>
    <w:uiPriority w:val="99"/>
    <w:unhideWhenUsed/>
    <w:rsid w:val="0098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179"/>
  </w:style>
  <w:style w:type="character" w:styleId="Komentaronuoroda">
    <w:name w:val="annotation reference"/>
    <w:basedOn w:val="Numatytasispastraiposriftas"/>
    <w:uiPriority w:val="99"/>
    <w:semiHidden/>
    <w:unhideWhenUsed/>
    <w:rsid w:val="00987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17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17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1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5428</Characters>
  <Application>Microsoft Office Word</Application>
  <DocSecurity>0</DocSecurity>
  <Lines>100</Lines>
  <Paragraphs>58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dcterms:created xsi:type="dcterms:W3CDTF">2024-08-05T07:01:00Z</dcterms:created>
  <dcterms:modified xsi:type="dcterms:W3CDTF">2024-08-21T10:45:00Z</dcterms:modified>
</cp:coreProperties>
</file>