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6011" w14:textId="252BCE72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1. Junginys, kurio formulė II</w:t>
      </w:r>
    </w:p>
    <w:p w14:paraId="3425536E" w14:textId="409AD482" w:rsidR="00D70FD0" w:rsidRPr="00D70FD0" w:rsidRDefault="00D70FD0" w:rsidP="00D70FD0">
      <w:pPr>
        <w:spacing w:after="0" w:line="360" w:lineRule="auto"/>
        <w:jc w:val="center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noProof/>
          <w:kern w:val="2"/>
          <w:sz w:val="20"/>
          <w:szCs w:val="24"/>
          <w:lang w:val="lt-LT"/>
        </w:rPr>
        <w:pict w14:anchorId="42342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0" type="#_x0000_t75" alt="A diagram of a molecule&#10;&#10;AI-generated content may be incorrect." style="width:193.4pt;height:159.65pt;visibility:visible;mso-wrap-style:square">
            <v:imagedata r:id="rId8" o:title="A diagram of a molecule&#10;&#10;AI-generated content may be incorrect"/>
          </v:shape>
        </w:pict>
      </w:r>
    </w:p>
    <w:p w14:paraId="16FE61F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arba farmakologiškai priimtina jo druska, kur:</w:t>
      </w:r>
    </w:p>
    <w:p w14:paraId="38018472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X yra N arba CR;</w:t>
      </w:r>
    </w:p>
    <w:p w14:paraId="2D42CDF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R,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4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kiekvienas nepriklausomai H,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H, halogenas,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hidroksilas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(-OH),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alkoksilas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halogenalkilas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alkilas, minėtas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 pasirinktinai pakeistas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hidroksilu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halogenu,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;</w:t>
      </w:r>
    </w:p>
    <w:p w14:paraId="76E4AB0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nepriklausomai H,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H, CH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CH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F, CHF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CF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CH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OH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alkilas, minėtas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 pasirinktinai pakeistas F, OH,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;</w:t>
      </w:r>
    </w:p>
    <w:p w14:paraId="3D817EF6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5a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5b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nepriklausomai H,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alkilas, minėtas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 pasirinktinai pakeistas F, OH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arba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5a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5b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sujungti kartu, sudarant metileno arba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etileno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tiltelinę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grupę;</w:t>
      </w:r>
    </w:p>
    <w:p w14:paraId="2BF07A5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5c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5d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kiekvienas nepriklausomai H,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H, F, -OH,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alkoksilas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alkilas, minėtas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 pasirinktinai pakeistas F, OH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arba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5c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5d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yra sujungti kartu, sudarant metileno,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etileno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-CH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-O-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tiltelinę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grupę; ir</w:t>
      </w:r>
    </w:p>
    <w:p w14:paraId="4392F0D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6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7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8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kiekvienas yra nepriklausomai pasirinktas iš H,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H, halogeno,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alkilo,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halogenalkoksilo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3-7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cikloalkilo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4-7 narių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heterociklilo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turinčio nuo 1 iki 3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heteroatomų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pasirinktų iš N, O ir S, minėtas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alkilas pasirinktinai pakeistas F, OH,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arba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halogenalkoksilu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; arba</w:t>
      </w:r>
    </w:p>
    <w:p w14:paraId="772E44A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6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R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8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pasirinktinai sudaro iš dalies sotųjį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karbobiciklinį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žiedą arba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heterobiciklinį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žiedą su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heteroarilo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žiedu, minėtas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karbobiciklinis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žiedas arba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heterobiciklinis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žiedas pasirinktinai pakeistas nuo 1 iki 3 grupių, pasirinktų iš 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perscript"/>
          <w:lang w:val="lt-LT"/>
        </w:rPr>
        <w:t>2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H, halogeno,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alkoksilo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1-3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halogenalkoksilo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C</w:t>
      </w:r>
      <w:r w:rsidRPr="00D70FD0">
        <w:rPr>
          <w:rFonts w:ascii="Helvetica" w:eastAsia="Aptos" w:hAnsi="Helvetica" w:cs="Helvetica"/>
          <w:kern w:val="2"/>
          <w:sz w:val="20"/>
          <w:szCs w:val="24"/>
          <w:vertAlign w:val="subscript"/>
          <w:lang w:val="lt-LT"/>
        </w:rPr>
        <w:t>3-7</w:t>
      </w: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cikloalkilo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4-7 narių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heterociklilo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turinčio nuo 1 iki 3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heteroatomų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, pasirinktų iš N, O ir S,</w:t>
      </w:r>
    </w:p>
    <w:p w14:paraId="450C2DEE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skirtas naudoti taikant vėžio, pasirinkto iš melanomos, kraujagyslinio akies dangalo melanomos, limfomos, difuzinės didžiųjų B ląstelių limfomos,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ibrutinibui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atsparių vėžio formų,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papilinio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vėžio, skydliaukės vėžio, kiaušidžių vėžio, storosios žarnos vėžio, kasos vėžio,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nesmulkialąstelinio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plaučių vėžio, hematologinių vėžio formų, lėtinės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mielogeninės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leukemijos, ūminės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limfoblastinės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leukemijos ir ūminės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mieloidinės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leukemijos, gydymą pacientams, kuriems pripažinta tokio gydymo būtinybė.</w:t>
      </w:r>
    </w:p>
    <w:p w14:paraId="7F4AE218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76D09C5D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2. Junginys, skirtas naudoti pagal 1 punktą, arba farmakologiškai priimtina jo druska, kur vėžys yra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nesmulkialąstelinis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plaučių vėžys.</w:t>
      </w:r>
    </w:p>
    <w:p w14:paraId="3C0BA07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251882E6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3. Junginys, skirtas naudoti pagal 1 punktą, arba farmakologiškai priimtina jo druska, kur vėžys yra kraujagyslinio akies dangalo melanoma.</w:t>
      </w:r>
    </w:p>
    <w:p w14:paraId="386280D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35F52599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lastRenderedPageBreak/>
        <w:t>4. Junginys, skirtas naudoti pagal 3 punktą, kur kraujagyslinio akies dangalo melanoma gydoma pacientams, turintiems GNAQ arba GNA11 mutacijas.</w:t>
      </w:r>
    </w:p>
    <w:p w14:paraId="18B03D98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3C37AFFC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5. Junginys, skirtas naudoti pagal 3 arba 4 punktą, kur kraujagyslinio akies dangalo melanoma yra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solidinis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navikas.</w:t>
      </w:r>
    </w:p>
    <w:p w14:paraId="3F672020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724853B3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6. Junginys, skirtas naudoti pagal bet kurį iš 3–5 punktų, kur kraujagyslinio akies dangalo melanoma yra piktybinis navikas.</w:t>
      </w:r>
    </w:p>
    <w:p w14:paraId="5BBFDF5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6AE78988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7. Junginys, skirtas naudoti pagal bet kurį iš 2–6 punktų, kuris yra pasirinktas iš: </w:t>
      </w:r>
    </w:p>
    <w:p w14:paraId="4F94157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3-amino-N-(3-(4-aminopiperidin-1-il)piridin-2-il)-6-(3-(trifluormetil)piridin-2-il)pirazin-2-karboksamido;</w:t>
      </w:r>
    </w:p>
    <w:p w14:paraId="7F07BE1B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3-amino-N-(3-(4-aminopiperidin-1-il)piridin-2-il)-6-(3-(trifluormetoksi)piridin-2-il)pirazin-2-karboksamido;</w:t>
      </w:r>
    </w:p>
    <w:p w14:paraId="6715102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3-amino-N-(3-(4-amino-4-(metoksimetil)piperidin-1-il)piridin-2-il)-6-(3-(trifluormetil)piridin-2-il)pirazin-2-karboksamido;</w:t>
      </w:r>
    </w:p>
    <w:p w14:paraId="2E18F22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3-amino-N-(3-(4-amino-4-(hidroksimetil)piperidin-1-il)piridin-2-il)-6-(3-(trifluormetil)piridin-2-il)pirazin-2-karboksamido;</w:t>
      </w:r>
    </w:p>
    <w:p w14:paraId="0E0E50B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3-amino-N-(3-(4-amino-4-(hidroksimetil)piperidin-1-il)piridin-2-il)-6-(3-(trifluormetoksi)piridin-2-il)pirazin-2-karboksamido;</w:t>
      </w:r>
    </w:p>
    <w:p w14:paraId="563AEC5F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3-amino-N-(3-(4-amino-4-metilpiperidin-1-il)piridin-2-il)-6-(3-(trifluormetil)piridin-2-il)pirazin-2-karboksamido;</w:t>
      </w:r>
    </w:p>
    <w:p w14:paraId="2D8AD05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3-amino-N-(3-(4-amino-4-metilpiperidin-1-il)piridin-2-il)-6-(3-(trifluormetoksi)piridin-2-il)pirazin-2-karboksamido;</w:t>
      </w:r>
    </w:p>
    <w:p w14:paraId="4166FBD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3-amino-N-(3-(4-amino-4-metilpiperidin-1-il)piridin-2-il)-6-(4-metoksi-3-(trifluormetil)piridin-2-il)pirazin-2-karboksamido;</w:t>
      </w:r>
    </w:p>
    <w:p w14:paraId="26D8FC7E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3-amino-N-(3-(4-amino-4-etilpiperidin-1-il)piridin-2-il)-6-(3-(trifluormetil)piridin-2-il)pirazin-2-karboksamido;</w:t>
      </w:r>
    </w:p>
    <w:p w14:paraId="6D5B31E1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3-amino-N-(3-(4-amino-4-metilpiperidin-1-il)piridin-2-il)-6-(3-chloropiridin-2-il)pirazin-2-karboksamido;</w:t>
      </w:r>
    </w:p>
    <w:p w14:paraId="5E958936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3-amino-N-(3-(4-amino-4-metilpiperidin-1-il)piridin-2-il)-6-(3-fluorpiridin-2-il)pirazin-2-karboksamido;</w:t>
      </w:r>
    </w:p>
    <w:p w14:paraId="29BDBBD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3-amino-N-(3-(4-amino-4-metilpiperidin-1-il)piridin-2-il)-6-(3-fluor-4-metoksipiridin-2-il)pirazin-2-karboksamido;</w:t>
      </w:r>
    </w:p>
    <w:p w14:paraId="6EDC6EDD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3-amino-N-(3-(4-amino-4-(metoksimetil)piperidin-1-il)piridin-2-il)-6-(3-fluorpiridin-2-il)pirazin-2-karboksamido;</w:t>
      </w:r>
    </w:p>
    <w:p w14:paraId="1995F7DE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3-amino-N-(3-(4-amino-4-etilpiperidin-1-il)piridin-2-il)-6-(3-(trifluormetoksi)piridin-2-il)pirazin-2-karboksamido;</w:t>
      </w:r>
    </w:p>
    <w:p w14:paraId="2952C290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3-amino-N-(3-(4-amino-4-(metoksimetil)piperidin-1-il)piridin-2-il)-6-(3-(trifluormetoksi)piridin-2-il)pirazin-2-karboksamido;</w:t>
      </w:r>
    </w:p>
    <w:p w14:paraId="66FEC9A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3-amino-N-(3-(4-amino-4-(2-hidroksietil)piperidin-1-il)piridin-2-il)-6-(3-(trifluormetil)piridin-2-il)pirazin-2-karboksamido;</w:t>
      </w:r>
    </w:p>
    <w:p w14:paraId="578B067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3-amino-N-(3-(4-amino-4-(2-hidroksietil)piperidin-1-il)piridin-2-il)-6-(3-fluorpiridin-2-il)pirazin-2-karboksamido;</w:t>
      </w:r>
    </w:p>
    <w:p w14:paraId="0B844500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3-amino-N-(3-(4-amino-4-(2-metoksietil)piperidin-1-il)piridin-2-il)-6-(3-(trifluormetil)piridin-2-il)pirazin-2-karboksamido;</w:t>
      </w:r>
    </w:p>
    <w:p w14:paraId="6C57B9D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(+)3-amino-N-(3-((cis)-4-amino-3-fluorpiperidin-1-il)piridin-2-il)-6-(3-(trifluormetoksi)piridin-2-il)pirazin-2-karboksamido;</w:t>
      </w:r>
    </w:p>
    <w:p w14:paraId="7C81205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3-amino-N-(3-(4-aminopiperidin-1-il)piridin-2-il)-6-(3-fluorpiridin-2-il)pirazin-2-karboksamido;</w:t>
      </w:r>
    </w:p>
    <w:p w14:paraId="00C32631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3-amino-N-(3-((3S,4R)-4-amino-3-fluorpiperidin-1-il)piridin-2-il)-6-(3-(trifluormetoksi)piridin-2-il)pirazin-2-karboksamido;</w:t>
      </w:r>
    </w:p>
    <w:p w14:paraId="599CE54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3-amino-N-(3-(4-amino-4-etilpiperidin-1-il)piridin-2-il)-6-(3-fluorpiridin-2-il)pirazin-2-karboksamido;</w:t>
      </w:r>
    </w:p>
    <w:p w14:paraId="731435C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lastRenderedPageBreak/>
        <w:t>3-amino-N-(3-(4-amino-4-metilpiperidin-1-il)piridin-2-il)-6-(4-etoksi-3-(trifluormetil)piridin-2-il)pirazin-2-karboksamido;</w:t>
      </w:r>
    </w:p>
    <w:p w14:paraId="695FCA96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3-amino-N-(3-(4-amino-4-metilpiperidin-1-il)piridin-2-il)-6-(4-chlor-3-(trifluormetil)piridin-2-il)pirazin-2-karboksamido;</w:t>
      </w:r>
    </w:p>
    <w:p w14:paraId="1AEBDEC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3-amino-N-(3-(4-aminopiperidin-1-il)-6-metilpiridin-2-il)-6-(3-(trifluormetoksi)piridin-2-il)pirazin-2-karboksamido;</w:t>
      </w:r>
    </w:p>
    <w:p w14:paraId="65CEE6B6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3-amino-N-(3-(4-aminopiperidin-1-il)-6-metilpiridin-2-il)-6-(3-(trifluormetil)piridin-2-il)pirazin-2-karboksamido;</w:t>
      </w:r>
    </w:p>
    <w:p w14:paraId="4D75D392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3-amino-N-(3-(4-amino-3-metoksipiperidin-1-il)piridin-2-il)-6-(3-(trifluormetoksi)piridin-2-il)pirazin-2-karboksamido;</w:t>
      </w:r>
    </w:p>
    <w:p w14:paraId="3C4260C1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3-amino-N-(3-(4-amino-4-metilpiperidin-1-il)piridin-2-il)-6-(3-fluor-4-metilpiridin-2-il)pirazin-2-karboksamido;</w:t>
      </w:r>
    </w:p>
    <w:p w14:paraId="5986A85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3-amino-N-(3-(4-amino-4-metilpiperidin-1-il)piridin-2-il)-6-(4-etoksi-3-fluorpiridin-2-il)pirazin-2-karboksamido;</w:t>
      </w:r>
    </w:p>
    <w:p w14:paraId="1DF54F2D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3-amino-N-(3-(4-amino-4-metilpiperidin-1-il)piridin-2-il)-6-(4-(hidroksimetil)-3-(trifluormetil)piridin-2-il)pirazin-2-karboksamido; ir</w:t>
      </w:r>
    </w:p>
    <w:p w14:paraId="66EB39F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3-amino-N-(3-(4-amino-4-metilpiperidin-1-il)piridin-2-il)-6-(4-(metoksimetil)-3-(trifluormetil)piridin-2-il)pirazin-2-karboksamido;</w:t>
      </w:r>
    </w:p>
    <w:p w14:paraId="691B1FD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arba farmakologiškai priimtina jo druska.</w:t>
      </w:r>
    </w:p>
    <w:p w14:paraId="50A1E2B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6D8324E6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8. Junginys, skirtas naudoti pagal bet kurį iš 2–6 punktų, kuris yra pasirinktas iš: </w:t>
      </w:r>
    </w:p>
    <w:p w14:paraId="5B2B820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3-amino-N-(3-(4-aminopiperidin-1-il)piridin-2-il)-6-(3-(trifluormetoksi)piridin-2-il)pirazin-2-karboksamido;</w:t>
      </w:r>
    </w:p>
    <w:p w14:paraId="2F27B40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3-amino-N-(3-(4-amino-4-metilpiperidin-1-il)piridin-2-il)-6-(3-(trifluormetil)piridin-2-il)pirazin-2-karboksamido; ir</w:t>
      </w:r>
    </w:p>
    <w:p w14:paraId="21329C48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3-amino-N-(3-(4-amino-4-metilpiperidin-1-il)piridin-2-il)-6-(3-(trifluormetoksi)piridin-2-il)pirazin-2-karboksamido,</w:t>
      </w:r>
    </w:p>
    <w:p w14:paraId="2DA235E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arba farmakologiškai priimtina jo druska.</w:t>
      </w:r>
    </w:p>
    <w:p w14:paraId="42FB6850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41DDAD23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9. Junginys, skirtas naudoti pagal bet kurį iš 2–6 punktų, kuris yra pasirinktas iš: </w:t>
      </w:r>
    </w:p>
    <w:p w14:paraId="7047FD0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3-amino-N-(3-(4-aminopiperidin-1-il)piridin-2-il)-6-(3-(trifluormetoksi)piridin-2-il)pirazin-2-karboksamido;</w:t>
      </w:r>
    </w:p>
    <w:p w14:paraId="14C2727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3-amino-N-(3-(4-amino-4-metilpiperidin-1-il)piridin-2-il)-6-(3-(trifluormetil)piridin-2-il)pirazin-2-karboksamido; ir</w:t>
      </w:r>
    </w:p>
    <w:p w14:paraId="02AE54B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3-amino-N-(3-(4-amino-4-metilpiperidin-1-il)piridin-2-il)-6-(3-(trifluormetoksi)piridin-2-il)pirazin-2-karboksamido.</w:t>
      </w:r>
    </w:p>
    <w:p w14:paraId="74F4B24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6A67C6F9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10. Junginys, skirtas naudoti pagal bet kurį iš 2–6 punktų, kuris yra 3-amino-N-(3-(4-amino-4-metilpiperidin-1-il)piridin-2-il)-6-(3-(trifluormetil)piridin-2-il)pirazin-2-karboksamidas,</w:t>
      </w:r>
    </w:p>
    <w:p w14:paraId="2A49415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arba farmakologiškai priimtina jo druska.</w:t>
      </w:r>
    </w:p>
    <w:p w14:paraId="575D266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2B9768A1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11. Junginys, skirtas naudoti pagal bet kurį iš 2–6 punktų, kuris yra 3-amino-N-(3-(4-amino-4-metilpiperidin-1-il)piridin-2-il)-6-(3-(trifluormetil)piridin-2-il)pirazin-2-karboksamidas.</w:t>
      </w:r>
    </w:p>
    <w:p w14:paraId="6A95C43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0E94BEF5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12. Junginys, skirtas naudoti pagal bet kurį iš 2–6 punktų, kuris yra pasirinktas iš: </w:t>
      </w:r>
    </w:p>
    <w:p w14:paraId="7B6E7C1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3-amino-N-(3-(4-aminopiperidin-1-il)piridin-2-il)-6-(6-morfolino-3-(trifluormetil)piridin-2-il)pirazin-2-karboksamido;</w:t>
      </w:r>
    </w:p>
    <w:p w14:paraId="589B7C4F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3-amino-N-(3-(4-amino-4-metilpiperidin-1-il)piridin-2-il)-6-(2-morfolino-5-(trifluormetil)pirimidin-4-il)pirazin-2-karboksamido;</w:t>
      </w:r>
    </w:p>
    <w:p w14:paraId="5FFCC99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3-amino-N-(3-(4-amino-4-metilpiperidin-1-il)piridin-2-il)-6-(6-ciklopropil-3-(trifluormetil)piridin-2-il)pirazin-2-karboksamido;</w:t>
      </w:r>
    </w:p>
    <w:p w14:paraId="7FCDF54C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lastRenderedPageBreak/>
        <w:t>3-amino-N-(3-(4-amino-4-metilpiperidin-1-il)piridin-2-il)-6-(6-metoksi-3-(trifluormetil)piridin-2-il)pirazin-2-karboksamido;</w:t>
      </w:r>
    </w:p>
    <w:p w14:paraId="1B48703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3-amino-N-(3-((1R,5S,8s)-8-amino-3-azabiciklo[3.2.1]oktan-3-il)piridin-2-il)-6-(6-morfolino-3-(trifluormetil)piridin-2-il)pirazin-2-karboksamido;</w:t>
      </w:r>
    </w:p>
    <w:p w14:paraId="45053DA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3-amino-N-(3-((1S,5R,8S)-8-amino-6-oksa-3-azabiciklo[3.2.1]oktan-3-il)piridin-2-il)-6-(6-morfolino-3-(trifluormetil)piridin-2-il)pirazin-2-karboksamido;</w:t>
      </w:r>
    </w:p>
    <w:p w14:paraId="751B036F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3-amino-N-(3-(4-aminopiperidin-1-il)piridin-2-il)-6-(5,6,7,8-tetrahidrochinazolin-4-il)pirazin-2-karboksamido;</w:t>
      </w:r>
    </w:p>
    <w:p w14:paraId="285FBC60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3-amino-N-(3-((1R,5S,8s)-8-amino-3-azabiciklo[3.2.1]oktan-3-il)piridin-2-il)-6-(6-morfolino-3-(trifluormetil)piridin-2-il)pirazin-2-karboksamido;</w:t>
      </w:r>
    </w:p>
    <w:p w14:paraId="7BCA7CDF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3-amino-N-(3-(4-amino-4-metilpiperidin-1-il)piridin-2-il)-6-(6-morfolino-3-(trifluormetil)piridin-2-il)pirazin-2-karboksamido;</w:t>
      </w:r>
    </w:p>
    <w:p w14:paraId="22257A9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3-amino-N-(3-(4-aminopiperidin-1-il)piridin-2-il)-6-(3,6-bis(trifluormetil)piridin-2-il)pirazin-2-karboksamido;</w:t>
      </w:r>
    </w:p>
    <w:p w14:paraId="12DCA4D6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3-amino-N-(3-(4-amino-4-metilpiperidin-1-il)piridin-2-il)-6-(5-morfolino-2-(trifluormetil)fenil)pirazin-2-karboksamido;</w:t>
      </w:r>
    </w:p>
    <w:p w14:paraId="35AC5F23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3-amino-N-(3-(4-aminopiperidin-1-il)piridin-2-il)-6-(2-morfolinopirimidin-4-il)pirazin-2-karboksamido;</w:t>
      </w:r>
    </w:p>
    <w:p w14:paraId="30CAA0CD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3-amino-N-(3-(4-aminopiperidin-1-il)piridin-2-il)-6-(6-morfolinopirimidin-2-il)pirazin-2-karboksamido;</w:t>
      </w:r>
    </w:p>
    <w:p w14:paraId="68879F34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3-amino-N-(3-(4-aminopiperidin-1-il)piridin-2-il)-6-(6-(azetidin-1-il)-3-(trifluormetil)piridin-2-il)pirazin-2-karboksamido;</w:t>
      </w:r>
    </w:p>
    <w:p w14:paraId="35F379B7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3-amino-N-(3-((3S,4R)-4-amino-3-fluorpiperidin-1-il)piridin-2-il)-6-(3-(trifluormetoksi)piridin-2-il)pirazin-2-karboksamido; ir</w:t>
      </w:r>
    </w:p>
    <w:p w14:paraId="58912391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3-amino-N-(3-(4-amino-4-metilpiperidin-1-il)piridin-2-il)-6-(5-fluor-2-morfolinopirimidin-4-il)pirazin-2-karboksamido;</w:t>
      </w:r>
    </w:p>
    <w:p w14:paraId="530E5375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arba farmakologiškai priimtina jo druska.</w:t>
      </w:r>
    </w:p>
    <w:p w14:paraId="67A48AEA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2E7223ED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13. Junginys, skirtas naudoti pagal bet kurį iš 2–12 punktų, kur junginys arba farmakologiškai priimtina jo druska yra skiriama derinyje su bent vienu papildomu agentu vėžiui gydyti.</w:t>
      </w:r>
    </w:p>
    <w:p w14:paraId="6BD90AAB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007B3E95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14. Junginys, skirtas naudoti pagal 13 punktą, kur priešvėžinis agentas indukuoja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apoptozę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yra pasirinktas iš spinduliuotės;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inhibitorių;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priešprasmių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molekulių; antikūnų;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antiestrogenų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antiandrogenų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ciklooksigenazės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2 (COX-2) inhibitorių; vėžio chemoterapinių vaistų; ląstelių signalinių molekulių;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ceramidų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citokinų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; ir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staurosporino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.</w:t>
      </w:r>
    </w:p>
    <w:p w14:paraId="131C825E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47C21861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15. Junginys, skirtas naudoti pagal 13 punktą, kur priešvėžinis agentas yra pasirinktas iš spinduliuotės,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epiderminio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augimo faktoriaus receptoriaus [EGFR]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inhibitoriaus, kraujagyslių augimo faktoriaus receptoriaus [VGFR]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inhibitoriaus, fibroblastų augimo faktoriaus receptoriaus [FGFR]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inhibitoriaus, trombocitų augimo faktoriaus receptoriaus [PGFR] I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inhibitoriaus,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Bcr-Abl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inhibitoriaus, STI-571, </w:t>
      </w:r>
      <w:proofErr w:type="spellStart"/>
      <w:r w:rsidRPr="00D70FD0">
        <w:rPr>
          <w:rFonts w:ascii="Helvetica" w:eastAsia="Aptos" w:hAnsi="Helvetica" w:cs="Helvetica"/>
          <w:i/>
          <w:iCs/>
          <w:kern w:val="2"/>
          <w:sz w:val="20"/>
          <w:szCs w:val="24"/>
          <w:lang w:val="lt-LT"/>
        </w:rPr>
        <w:t>Gleevec</w:t>
      </w:r>
      <w:proofErr w:type="spellEnd"/>
      <w:r w:rsidRPr="00D70FD0">
        <w:rPr>
          <w:rFonts w:ascii="Helvetica" w:eastAsia="Aptos" w:hAnsi="Helvetica" w:cs="Helvetica"/>
          <w:i/>
          <w:iCs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i/>
          <w:iCs/>
          <w:kern w:val="2"/>
          <w:sz w:val="20"/>
          <w:szCs w:val="24"/>
          <w:lang w:val="lt-LT"/>
        </w:rPr>
        <w:t>Glivec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herceptino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rituksano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raloksifeno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tamoksifeno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flutamido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bikalutamido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finasterido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aminoglutetamido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ketokonazolo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kortikosteroidų,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celekoksibo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meloksikamo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NS-398, nesteroidinių vaistų nuo uždegimo,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irinotekano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CPT-11,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fludarabino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dakarbazino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deksametazono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mitoksantrono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milotargo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VP-16,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cisplatinos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5-FU,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doksorubicino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taksotero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,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taksolio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ir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staurosporino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.</w:t>
      </w:r>
    </w:p>
    <w:p w14:paraId="7C2E2A79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12205567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16. Junginys, skirtas naudoti pagal bet kurį iš 1–12 punktų, kur junginys arba farmakologiškai priimtina jo druska yra skiriama kartu su spindulinė terapija.</w:t>
      </w:r>
    </w:p>
    <w:p w14:paraId="7D790431" w14:textId="77777777" w:rsidR="00D70FD0" w:rsidRPr="00D70FD0" w:rsidRDefault="00D70FD0" w:rsidP="00D70FD0">
      <w:pPr>
        <w:spacing w:after="0" w:line="360" w:lineRule="auto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</w:p>
    <w:p w14:paraId="26A2B959" w14:textId="77777777" w:rsidR="00D70FD0" w:rsidRPr="00D70FD0" w:rsidRDefault="00D70FD0" w:rsidP="00D70FD0">
      <w:pPr>
        <w:spacing w:after="0" w:line="360" w:lineRule="auto"/>
        <w:ind w:firstLine="567"/>
        <w:jc w:val="both"/>
        <w:rPr>
          <w:rFonts w:ascii="Helvetica" w:eastAsia="Aptos" w:hAnsi="Helvetica" w:cs="Helvetica"/>
          <w:kern w:val="2"/>
          <w:sz w:val="20"/>
          <w:szCs w:val="24"/>
          <w:lang w:val="lt-LT"/>
        </w:rPr>
      </w:pPr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lastRenderedPageBreak/>
        <w:t xml:space="preserve">17. Junginys, skirtas naudoti pagal 13 punktą, kur priešvėžinis agentas yra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tirozino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</w:t>
      </w:r>
      <w:proofErr w:type="spellStart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>kinazės</w:t>
      </w:r>
      <w:proofErr w:type="spellEnd"/>
      <w:r w:rsidRPr="00D70FD0">
        <w:rPr>
          <w:rFonts w:ascii="Helvetica" w:eastAsia="Aptos" w:hAnsi="Helvetica" w:cs="Helvetica"/>
          <w:kern w:val="2"/>
          <w:sz w:val="20"/>
          <w:szCs w:val="24"/>
          <w:lang w:val="lt-LT"/>
        </w:rPr>
        <w:t xml:space="preserve"> inhibitorius.</w:t>
      </w:r>
    </w:p>
    <w:sectPr w:rsidR="00D70FD0" w:rsidRPr="00D70FD0" w:rsidSect="00D70FD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C48D" w14:textId="77777777" w:rsidR="009E1047" w:rsidRDefault="009E1047" w:rsidP="007B0A41">
      <w:pPr>
        <w:spacing w:after="0" w:line="240" w:lineRule="auto"/>
      </w:pPr>
      <w:r>
        <w:separator/>
      </w:r>
    </w:p>
  </w:endnote>
  <w:endnote w:type="continuationSeparator" w:id="0">
    <w:p w14:paraId="307B58EA" w14:textId="77777777" w:rsidR="009E1047" w:rsidRDefault="009E104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4740" w14:textId="77777777" w:rsidR="009E1047" w:rsidRDefault="009E1047" w:rsidP="007B0A41">
      <w:pPr>
        <w:spacing w:after="0" w:line="240" w:lineRule="auto"/>
      </w:pPr>
      <w:r>
        <w:separator/>
      </w:r>
    </w:p>
  </w:footnote>
  <w:footnote w:type="continuationSeparator" w:id="0">
    <w:p w14:paraId="7E19219D" w14:textId="77777777" w:rsidR="009E1047" w:rsidRDefault="009E1047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F9"/>
    <w:multiLevelType w:val="hybridMultilevel"/>
    <w:tmpl w:val="901E5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04EE9"/>
    <w:multiLevelType w:val="hybridMultilevel"/>
    <w:tmpl w:val="167AA220"/>
    <w:lvl w:ilvl="0" w:tplc="E37EE8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899"/>
    <w:multiLevelType w:val="hybridMultilevel"/>
    <w:tmpl w:val="2856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3E5"/>
    <w:multiLevelType w:val="multilevel"/>
    <w:tmpl w:val="FA72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F74E7"/>
    <w:multiLevelType w:val="hybridMultilevel"/>
    <w:tmpl w:val="9E54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014"/>
    <w:multiLevelType w:val="hybridMultilevel"/>
    <w:tmpl w:val="DC92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DAC"/>
    <w:multiLevelType w:val="hybridMultilevel"/>
    <w:tmpl w:val="7DFA6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23"/>
    <w:multiLevelType w:val="hybridMultilevel"/>
    <w:tmpl w:val="6E1EF3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039E"/>
    <w:multiLevelType w:val="hybridMultilevel"/>
    <w:tmpl w:val="F19A6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378D"/>
    <w:multiLevelType w:val="hybridMultilevel"/>
    <w:tmpl w:val="A440C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A01D2"/>
    <w:multiLevelType w:val="hybridMultilevel"/>
    <w:tmpl w:val="EA7E8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8FF"/>
    <w:multiLevelType w:val="hybridMultilevel"/>
    <w:tmpl w:val="2E10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0745"/>
    <w:multiLevelType w:val="hybridMultilevel"/>
    <w:tmpl w:val="3278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3383"/>
    <w:multiLevelType w:val="hybridMultilevel"/>
    <w:tmpl w:val="0728E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023CE"/>
    <w:multiLevelType w:val="hybridMultilevel"/>
    <w:tmpl w:val="A06CF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645A"/>
    <w:multiLevelType w:val="hybridMultilevel"/>
    <w:tmpl w:val="1E3C5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64C"/>
    <w:multiLevelType w:val="multilevel"/>
    <w:tmpl w:val="E24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C13E2"/>
    <w:multiLevelType w:val="hybridMultilevel"/>
    <w:tmpl w:val="DED4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36E92"/>
    <w:multiLevelType w:val="hybridMultilevel"/>
    <w:tmpl w:val="7132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955AE"/>
    <w:multiLevelType w:val="hybridMultilevel"/>
    <w:tmpl w:val="8C1A3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011">
    <w:abstractNumId w:val="0"/>
  </w:num>
  <w:num w:numId="2" w16cid:durableId="1652978839">
    <w:abstractNumId w:val="0"/>
  </w:num>
  <w:num w:numId="3" w16cid:durableId="1869639140">
    <w:abstractNumId w:val="13"/>
  </w:num>
  <w:num w:numId="4" w16cid:durableId="12153217">
    <w:abstractNumId w:val="13"/>
  </w:num>
  <w:num w:numId="5" w16cid:durableId="816188468">
    <w:abstractNumId w:val="4"/>
  </w:num>
  <w:num w:numId="6" w16cid:durableId="1789549147">
    <w:abstractNumId w:val="4"/>
  </w:num>
  <w:num w:numId="7" w16cid:durableId="2021930591">
    <w:abstractNumId w:val="19"/>
  </w:num>
  <w:num w:numId="8" w16cid:durableId="492797470">
    <w:abstractNumId w:val="19"/>
  </w:num>
  <w:num w:numId="9" w16cid:durableId="1983849631">
    <w:abstractNumId w:val="5"/>
  </w:num>
  <w:num w:numId="10" w16cid:durableId="844130166">
    <w:abstractNumId w:val="5"/>
  </w:num>
  <w:num w:numId="11" w16cid:durableId="122162165">
    <w:abstractNumId w:val="9"/>
  </w:num>
  <w:num w:numId="12" w16cid:durableId="1928687738">
    <w:abstractNumId w:val="9"/>
  </w:num>
  <w:num w:numId="13" w16cid:durableId="1162771593">
    <w:abstractNumId w:val="2"/>
  </w:num>
  <w:num w:numId="14" w16cid:durableId="1475290724">
    <w:abstractNumId w:val="2"/>
  </w:num>
  <w:num w:numId="15" w16cid:durableId="1767768391">
    <w:abstractNumId w:val="10"/>
  </w:num>
  <w:num w:numId="16" w16cid:durableId="1018695985">
    <w:abstractNumId w:val="10"/>
  </w:num>
  <w:num w:numId="17" w16cid:durableId="1695380313">
    <w:abstractNumId w:val="18"/>
  </w:num>
  <w:num w:numId="18" w16cid:durableId="2039576122">
    <w:abstractNumId w:val="18"/>
  </w:num>
  <w:num w:numId="19" w16cid:durableId="155725199">
    <w:abstractNumId w:val="14"/>
  </w:num>
  <w:num w:numId="20" w16cid:durableId="227883848">
    <w:abstractNumId w:val="14"/>
  </w:num>
  <w:num w:numId="21" w16cid:durableId="1303391081">
    <w:abstractNumId w:val="15"/>
  </w:num>
  <w:num w:numId="22" w16cid:durableId="297956716">
    <w:abstractNumId w:val="15"/>
  </w:num>
  <w:num w:numId="23" w16cid:durableId="1462381574">
    <w:abstractNumId w:val="11"/>
  </w:num>
  <w:num w:numId="24" w16cid:durableId="513344961">
    <w:abstractNumId w:val="11"/>
  </w:num>
  <w:num w:numId="25" w16cid:durableId="179047028">
    <w:abstractNumId w:val="8"/>
  </w:num>
  <w:num w:numId="26" w16cid:durableId="625626407">
    <w:abstractNumId w:val="8"/>
  </w:num>
  <w:num w:numId="27" w16cid:durableId="1976182463">
    <w:abstractNumId w:val="12"/>
  </w:num>
  <w:num w:numId="28" w16cid:durableId="953637650">
    <w:abstractNumId w:val="12"/>
  </w:num>
  <w:num w:numId="29" w16cid:durableId="1745494707">
    <w:abstractNumId w:val="6"/>
  </w:num>
  <w:num w:numId="30" w16cid:durableId="1574123605">
    <w:abstractNumId w:val="6"/>
  </w:num>
  <w:num w:numId="31" w16cid:durableId="1752970013">
    <w:abstractNumId w:val="17"/>
  </w:num>
  <w:num w:numId="32" w16cid:durableId="194467860">
    <w:abstractNumId w:val="17"/>
  </w:num>
  <w:num w:numId="33" w16cid:durableId="1402947983">
    <w:abstractNumId w:val="3"/>
  </w:num>
  <w:num w:numId="34" w16cid:durableId="103886913">
    <w:abstractNumId w:val="16"/>
  </w:num>
  <w:num w:numId="35" w16cid:durableId="1718318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437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4057763">
    <w:abstractNumId w:val="1"/>
  </w:num>
  <w:num w:numId="38" w16cid:durableId="99942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AAB"/>
    <w:rsid w:val="00007436"/>
    <w:rsid w:val="00010A56"/>
    <w:rsid w:val="000132BB"/>
    <w:rsid w:val="000226B4"/>
    <w:rsid w:val="00035E1E"/>
    <w:rsid w:val="00050629"/>
    <w:rsid w:val="00052CC3"/>
    <w:rsid w:val="00065F0D"/>
    <w:rsid w:val="000707EC"/>
    <w:rsid w:val="00070D8A"/>
    <w:rsid w:val="000816AE"/>
    <w:rsid w:val="00092D0B"/>
    <w:rsid w:val="000938B3"/>
    <w:rsid w:val="000A7AC8"/>
    <w:rsid w:val="000C2625"/>
    <w:rsid w:val="000C74EF"/>
    <w:rsid w:val="000D5C84"/>
    <w:rsid w:val="000F2219"/>
    <w:rsid w:val="00100547"/>
    <w:rsid w:val="0010357B"/>
    <w:rsid w:val="001142CB"/>
    <w:rsid w:val="00114CEC"/>
    <w:rsid w:val="00120AC9"/>
    <w:rsid w:val="00121D84"/>
    <w:rsid w:val="001308ED"/>
    <w:rsid w:val="00131DE0"/>
    <w:rsid w:val="00145EBC"/>
    <w:rsid w:val="00147A47"/>
    <w:rsid w:val="00155F13"/>
    <w:rsid w:val="00156352"/>
    <w:rsid w:val="00166787"/>
    <w:rsid w:val="001668DF"/>
    <w:rsid w:val="00171867"/>
    <w:rsid w:val="00177484"/>
    <w:rsid w:val="0017796D"/>
    <w:rsid w:val="001844D3"/>
    <w:rsid w:val="00192F10"/>
    <w:rsid w:val="001A0135"/>
    <w:rsid w:val="001A0BB5"/>
    <w:rsid w:val="001A0CD0"/>
    <w:rsid w:val="001A3E8E"/>
    <w:rsid w:val="001B0990"/>
    <w:rsid w:val="001B2EF2"/>
    <w:rsid w:val="001B4A22"/>
    <w:rsid w:val="001C0696"/>
    <w:rsid w:val="001C33D1"/>
    <w:rsid w:val="001C4CED"/>
    <w:rsid w:val="001D10BC"/>
    <w:rsid w:val="001F266E"/>
    <w:rsid w:val="00206546"/>
    <w:rsid w:val="00206EAF"/>
    <w:rsid w:val="00215E69"/>
    <w:rsid w:val="0021733C"/>
    <w:rsid w:val="00220DDC"/>
    <w:rsid w:val="00221A42"/>
    <w:rsid w:val="0022267A"/>
    <w:rsid w:val="00223739"/>
    <w:rsid w:val="00223910"/>
    <w:rsid w:val="00234819"/>
    <w:rsid w:val="00234E11"/>
    <w:rsid w:val="0025675F"/>
    <w:rsid w:val="00260D4E"/>
    <w:rsid w:val="002613D6"/>
    <w:rsid w:val="00263A3E"/>
    <w:rsid w:val="002643CE"/>
    <w:rsid w:val="00270962"/>
    <w:rsid w:val="0027543F"/>
    <w:rsid w:val="002815BC"/>
    <w:rsid w:val="002837FC"/>
    <w:rsid w:val="00291D1F"/>
    <w:rsid w:val="0029749A"/>
    <w:rsid w:val="002A2B24"/>
    <w:rsid w:val="002C58A7"/>
    <w:rsid w:val="002D1C1C"/>
    <w:rsid w:val="002D21AE"/>
    <w:rsid w:val="002E3479"/>
    <w:rsid w:val="002E5566"/>
    <w:rsid w:val="0030757D"/>
    <w:rsid w:val="0031317B"/>
    <w:rsid w:val="00316FB7"/>
    <w:rsid w:val="00317A6E"/>
    <w:rsid w:val="003212CA"/>
    <w:rsid w:val="00332E2C"/>
    <w:rsid w:val="0033671B"/>
    <w:rsid w:val="00340FF8"/>
    <w:rsid w:val="00355409"/>
    <w:rsid w:val="00360E2B"/>
    <w:rsid w:val="00363346"/>
    <w:rsid w:val="003700E9"/>
    <w:rsid w:val="003701BA"/>
    <w:rsid w:val="00382149"/>
    <w:rsid w:val="003825E2"/>
    <w:rsid w:val="00387713"/>
    <w:rsid w:val="003924B8"/>
    <w:rsid w:val="00393325"/>
    <w:rsid w:val="0039374D"/>
    <w:rsid w:val="003947A6"/>
    <w:rsid w:val="003A0D71"/>
    <w:rsid w:val="003A1B2E"/>
    <w:rsid w:val="003B1441"/>
    <w:rsid w:val="003B53A5"/>
    <w:rsid w:val="003B5C0B"/>
    <w:rsid w:val="003C3CFA"/>
    <w:rsid w:val="003C4D4D"/>
    <w:rsid w:val="003C6957"/>
    <w:rsid w:val="003D0FEF"/>
    <w:rsid w:val="003D26BE"/>
    <w:rsid w:val="003D2D84"/>
    <w:rsid w:val="003D4001"/>
    <w:rsid w:val="003E359F"/>
    <w:rsid w:val="003E5E6D"/>
    <w:rsid w:val="003F52E9"/>
    <w:rsid w:val="004075DD"/>
    <w:rsid w:val="00412B35"/>
    <w:rsid w:val="004138E9"/>
    <w:rsid w:val="00416928"/>
    <w:rsid w:val="0042141F"/>
    <w:rsid w:val="00424525"/>
    <w:rsid w:val="004263ED"/>
    <w:rsid w:val="004265A2"/>
    <w:rsid w:val="00431822"/>
    <w:rsid w:val="004361EB"/>
    <w:rsid w:val="00437D3F"/>
    <w:rsid w:val="00440B76"/>
    <w:rsid w:val="004412C1"/>
    <w:rsid w:val="00442300"/>
    <w:rsid w:val="00463DAF"/>
    <w:rsid w:val="0046727B"/>
    <w:rsid w:val="00471DCE"/>
    <w:rsid w:val="00490D98"/>
    <w:rsid w:val="00490F1C"/>
    <w:rsid w:val="00491797"/>
    <w:rsid w:val="004951F8"/>
    <w:rsid w:val="004A61A4"/>
    <w:rsid w:val="004B3796"/>
    <w:rsid w:val="004B6E5E"/>
    <w:rsid w:val="004C1469"/>
    <w:rsid w:val="004C66EA"/>
    <w:rsid w:val="004D193A"/>
    <w:rsid w:val="004D6BC3"/>
    <w:rsid w:val="004E0077"/>
    <w:rsid w:val="004E217F"/>
    <w:rsid w:val="004E7EF4"/>
    <w:rsid w:val="004F0890"/>
    <w:rsid w:val="004F110E"/>
    <w:rsid w:val="004F35B0"/>
    <w:rsid w:val="004F4ED7"/>
    <w:rsid w:val="00501F3F"/>
    <w:rsid w:val="00510879"/>
    <w:rsid w:val="0051688F"/>
    <w:rsid w:val="00520A99"/>
    <w:rsid w:val="005244A6"/>
    <w:rsid w:val="005244AE"/>
    <w:rsid w:val="00524721"/>
    <w:rsid w:val="00530402"/>
    <w:rsid w:val="0053198F"/>
    <w:rsid w:val="005335F2"/>
    <w:rsid w:val="00535727"/>
    <w:rsid w:val="0054327A"/>
    <w:rsid w:val="00546309"/>
    <w:rsid w:val="0055796F"/>
    <w:rsid w:val="00560B7D"/>
    <w:rsid w:val="00564911"/>
    <w:rsid w:val="00570509"/>
    <w:rsid w:val="00576F77"/>
    <w:rsid w:val="00593A5A"/>
    <w:rsid w:val="0059478E"/>
    <w:rsid w:val="005A0BED"/>
    <w:rsid w:val="005A1785"/>
    <w:rsid w:val="005A1D19"/>
    <w:rsid w:val="005A7E9F"/>
    <w:rsid w:val="005B19E5"/>
    <w:rsid w:val="005C3CF1"/>
    <w:rsid w:val="005C45D0"/>
    <w:rsid w:val="005C4A77"/>
    <w:rsid w:val="005C7496"/>
    <w:rsid w:val="005D37DF"/>
    <w:rsid w:val="005D7FD3"/>
    <w:rsid w:val="005E21CB"/>
    <w:rsid w:val="005E3447"/>
    <w:rsid w:val="005E3704"/>
    <w:rsid w:val="005F62B9"/>
    <w:rsid w:val="005F7AC5"/>
    <w:rsid w:val="00601E69"/>
    <w:rsid w:val="006049CC"/>
    <w:rsid w:val="00617E21"/>
    <w:rsid w:val="00620797"/>
    <w:rsid w:val="00633AE6"/>
    <w:rsid w:val="006341DF"/>
    <w:rsid w:val="006375BB"/>
    <w:rsid w:val="006466BA"/>
    <w:rsid w:val="0065196C"/>
    <w:rsid w:val="00660487"/>
    <w:rsid w:val="006651CE"/>
    <w:rsid w:val="006727FB"/>
    <w:rsid w:val="00675EE0"/>
    <w:rsid w:val="00675FB8"/>
    <w:rsid w:val="0067677C"/>
    <w:rsid w:val="00683EAE"/>
    <w:rsid w:val="00686B4A"/>
    <w:rsid w:val="006A20BA"/>
    <w:rsid w:val="006A5176"/>
    <w:rsid w:val="006B1A30"/>
    <w:rsid w:val="006C3CD4"/>
    <w:rsid w:val="006C5EA4"/>
    <w:rsid w:val="006C673E"/>
    <w:rsid w:val="006D15AB"/>
    <w:rsid w:val="006D1F05"/>
    <w:rsid w:val="006D6E9D"/>
    <w:rsid w:val="006D7B95"/>
    <w:rsid w:val="006F4BBD"/>
    <w:rsid w:val="006F52F9"/>
    <w:rsid w:val="00703E54"/>
    <w:rsid w:val="00710710"/>
    <w:rsid w:val="00715673"/>
    <w:rsid w:val="0072027F"/>
    <w:rsid w:val="0072141D"/>
    <w:rsid w:val="007256F5"/>
    <w:rsid w:val="007265BB"/>
    <w:rsid w:val="00765BC6"/>
    <w:rsid w:val="007752B9"/>
    <w:rsid w:val="007760A8"/>
    <w:rsid w:val="00780575"/>
    <w:rsid w:val="00780B40"/>
    <w:rsid w:val="00782C52"/>
    <w:rsid w:val="00790202"/>
    <w:rsid w:val="007907B1"/>
    <w:rsid w:val="00792C7E"/>
    <w:rsid w:val="00795D58"/>
    <w:rsid w:val="007A06C6"/>
    <w:rsid w:val="007A4B6F"/>
    <w:rsid w:val="007A5772"/>
    <w:rsid w:val="007B0A41"/>
    <w:rsid w:val="007B7B2F"/>
    <w:rsid w:val="007C0A0D"/>
    <w:rsid w:val="007C18AB"/>
    <w:rsid w:val="007C60FE"/>
    <w:rsid w:val="007C6593"/>
    <w:rsid w:val="007D7E01"/>
    <w:rsid w:val="007E0FB6"/>
    <w:rsid w:val="007E2261"/>
    <w:rsid w:val="007E24BA"/>
    <w:rsid w:val="007E3FCB"/>
    <w:rsid w:val="007E7E9B"/>
    <w:rsid w:val="00806BE5"/>
    <w:rsid w:val="00807DB6"/>
    <w:rsid w:val="008109C4"/>
    <w:rsid w:val="00811108"/>
    <w:rsid w:val="00817135"/>
    <w:rsid w:val="008261A6"/>
    <w:rsid w:val="008309E7"/>
    <w:rsid w:val="008314C9"/>
    <w:rsid w:val="00837B1E"/>
    <w:rsid w:val="00841C16"/>
    <w:rsid w:val="00843F06"/>
    <w:rsid w:val="0084569B"/>
    <w:rsid w:val="00850462"/>
    <w:rsid w:val="00851ABA"/>
    <w:rsid w:val="00852F46"/>
    <w:rsid w:val="0085681B"/>
    <w:rsid w:val="008632E9"/>
    <w:rsid w:val="00864E7D"/>
    <w:rsid w:val="008650E7"/>
    <w:rsid w:val="00871496"/>
    <w:rsid w:val="0087495C"/>
    <w:rsid w:val="00882EF1"/>
    <w:rsid w:val="00886FF4"/>
    <w:rsid w:val="008A569E"/>
    <w:rsid w:val="008A7B6E"/>
    <w:rsid w:val="008B16D2"/>
    <w:rsid w:val="008B41AC"/>
    <w:rsid w:val="008B5D33"/>
    <w:rsid w:val="008C60D6"/>
    <w:rsid w:val="008D3302"/>
    <w:rsid w:val="008D4E61"/>
    <w:rsid w:val="008E0E9E"/>
    <w:rsid w:val="008E2F47"/>
    <w:rsid w:val="008E34BA"/>
    <w:rsid w:val="00905029"/>
    <w:rsid w:val="0090596D"/>
    <w:rsid w:val="00907FD8"/>
    <w:rsid w:val="00916226"/>
    <w:rsid w:val="00930B2F"/>
    <w:rsid w:val="009371BA"/>
    <w:rsid w:val="00940E0F"/>
    <w:rsid w:val="00947ACD"/>
    <w:rsid w:val="00954A3A"/>
    <w:rsid w:val="00963C86"/>
    <w:rsid w:val="00971B8A"/>
    <w:rsid w:val="00972206"/>
    <w:rsid w:val="009766FA"/>
    <w:rsid w:val="0098532A"/>
    <w:rsid w:val="00992879"/>
    <w:rsid w:val="009A4247"/>
    <w:rsid w:val="009A75B6"/>
    <w:rsid w:val="009B1066"/>
    <w:rsid w:val="009B2E35"/>
    <w:rsid w:val="009B5E73"/>
    <w:rsid w:val="009B6C12"/>
    <w:rsid w:val="009B7B2A"/>
    <w:rsid w:val="009C10C1"/>
    <w:rsid w:val="009C2218"/>
    <w:rsid w:val="009D77D6"/>
    <w:rsid w:val="009D7CD4"/>
    <w:rsid w:val="009E1047"/>
    <w:rsid w:val="009E1738"/>
    <w:rsid w:val="009E3BA9"/>
    <w:rsid w:val="009E40FE"/>
    <w:rsid w:val="009F0A69"/>
    <w:rsid w:val="009F2E29"/>
    <w:rsid w:val="00A02F0C"/>
    <w:rsid w:val="00A056AD"/>
    <w:rsid w:val="00A07615"/>
    <w:rsid w:val="00A22BBD"/>
    <w:rsid w:val="00A33A1B"/>
    <w:rsid w:val="00A4282B"/>
    <w:rsid w:val="00A51B6C"/>
    <w:rsid w:val="00A534B9"/>
    <w:rsid w:val="00A630E0"/>
    <w:rsid w:val="00A7684A"/>
    <w:rsid w:val="00A800A3"/>
    <w:rsid w:val="00A93DF2"/>
    <w:rsid w:val="00AA03C7"/>
    <w:rsid w:val="00AA3A1F"/>
    <w:rsid w:val="00AC4F00"/>
    <w:rsid w:val="00AD119F"/>
    <w:rsid w:val="00AD2397"/>
    <w:rsid w:val="00AD4691"/>
    <w:rsid w:val="00AD4719"/>
    <w:rsid w:val="00AD6864"/>
    <w:rsid w:val="00AE153A"/>
    <w:rsid w:val="00AE1ECB"/>
    <w:rsid w:val="00AE51EA"/>
    <w:rsid w:val="00AF5AE6"/>
    <w:rsid w:val="00B15D02"/>
    <w:rsid w:val="00B226B6"/>
    <w:rsid w:val="00B24696"/>
    <w:rsid w:val="00B27FC6"/>
    <w:rsid w:val="00B347CF"/>
    <w:rsid w:val="00B456BD"/>
    <w:rsid w:val="00B52AD2"/>
    <w:rsid w:val="00B55668"/>
    <w:rsid w:val="00B60A59"/>
    <w:rsid w:val="00B64C01"/>
    <w:rsid w:val="00B6516C"/>
    <w:rsid w:val="00B65625"/>
    <w:rsid w:val="00B657C4"/>
    <w:rsid w:val="00B66B4E"/>
    <w:rsid w:val="00B67068"/>
    <w:rsid w:val="00B67649"/>
    <w:rsid w:val="00B70727"/>
    <w:rsid w:val="00B70B42"/>
    <w:rsid w:val="00B81266"/>
    <w:rsid w:val="00B81287"/>
    <w:rsid w:val="00B81AB2"/>
    <w:rsid w:val="00B86C5A"/>
    <w:rsid w:val="00B932A5"/>
    <w:rsid w:val="00B96506"/>
    <w:rsid w:val="00BA0DAE"/>
    <w:rsid w:val="00BA2E9F"/>
    <w:rsid w:val="00BA4457"/>
    <w:rsid w:val="00BD2789"/>
    <w:rsid w:val="00BD4132"/>
    <w:rsid w:val="00BD7E27"/>
    <w:rsid w:val="00BE1DE3"/>
    <w:rsid w:val="00BE60D0"/>
    <w:rsid w:val="00BE7B29"/>
    <w:rsid w:val="00C00CDB"/>
    <w:rsid w:val="00C1001A"/>
    <w:rsid w:val="00C11135"/>
    <w:rsid w:val="00C1307F"/>
    <w:rsid w:val="00C135B3"/>
    <w:rsid w:val="00C14703"/>
    <w:rsid w:val="00C156FA"/>
    <w:rsid w:val="00C20840"/>
    <w:rsid w:val="00C20D0E"/>
    <w:rsid w:val="00C233DC"/>
    <w:rsid w:val="00C26B30"/>
    <w:rsid w:val="00C26C67"/>
    <w:rsid w:val="00C30968"/>
    <w:rsid w:val="00C323DA"/>
    <w:rsid w:val="00C33BCC"/>
    <w:rsid w:val="00C33D71"/>
    <w:rsid w:val="00C34317"/>
    <w:rsid w:val="00C35E5C"/>
    <w:rsid w:val="00C43E47"/>
    <w:rsid w:val="00C47624"/>
    <w:rsid w:val="00C5356F"/>
    <w:rsid w:val="00C62722"/>
    <w:rsid w:val="00C642D3"/>
    <w:rsid w:val="00C674C9"/>
    <w:rsid w:val="00C72847"/>
    <w:rsid w:val="00C80D05"/>
    <w:rsid w:val="00C86DA9"/>
    <w:rsid w:val="00C914C0"/>
    <w:rsid w:val="00C91679"/>
    <w:rsid w:val="00C91715"/>
    <w:rsid w:val="00C93BF9"/>
    <w:rsid w:val="00C94E78"/>
    <w:rsid w:val="00C9500A"/>
    <w:rsid w:val="00C96549"/>
    <w:rsid w:val="00C97F2F"/>
    <w:rsid w:val="00CA0D8A"/>
    <w:rsid w:val="00CA1227"/>
    <w:rsid w:val="00CA1383"/>
    <w:rsid w:val="00CA2991"/>
    <w:rsid w:val="00CA573C"/>
    <w:rsid w:val="00CB3584"/>
    <w:rsid w:val="00CB6815"/>
    <w:rsid w:val="00CC28BC"/>
    <w:rsid w:val="00CC2EFF"/>
    <w:rsid w:val="00CC4575"/>
    <w:rsid w:val="00CD04F3"/>
    <w:rsid w:val="00CD23AF"/>
    <w:rsid w:val="00CD2F29"/>
    <w:rsid w:val="00CD45A8"/>
    <w:rsid w:val="00CD4847"/>
    <w:rsid w:val="00CD5A86"/>
    <w:rsid w:val="00CD765A"/>
    <w:rsid w:val="00CE04DF"/>
    <w:rsid w:val="00CE09D3"/>
    <w:rsid w:val="00CE12E8"/>
    <w:rsid w:val="00CE42D1"/>
    <w:rsid w:val="00CF2483"/>
    <w:rsid w:val="00CF419E"/>
    <w:rsid w:val="00CF70D6"/>
    <w:rsid w:val="00D01B08"/>
    <w:rsid w:val="00D15412"/>
    <w:rsid w:val="00D25EF6"/>
    <w:rsid w:val="00D26E30"/>
    <w:rsid w:val="00D30F69"/>
    <w:rsid w:val="00D54A23"/>
    <w:rsid w:val="00D54DBC"/>
    <w:rsid w:val="00D5533C"/>
    <w:rsid w:val="00D55A30"/>
    <w:rsid w:val="00D56D60"/>
    <w:rsid w:val="00D57409"/>
    <w:rsid w:val="00D66251"/>
    <w:rsid w:val="00D70FD0"/>
    <w:rsid w:val="00D917B4"/>
    <w:rsid w:val="00D94CD8"/>
    <w:rsid w:val="00D96A09"/>
    <w:rsid w:val="00DA16BD"/>
    <w:rsid w:val="00DB11E7"/>
    <w:rsid w:val="00DB2CA9"/>
    <w:rsid w:val="00DB375D"/>
    <w:rsid w:val="00DC4C34"/>
    <w:rsid w:val="00DC75A8"/>
    <w:rsid w:val="00DD27CC"/>
    <w:rsid w:val="00DD49B4"/>
    <w:rsid w:val="00DD6278"/>
    <w:rsid w:val="00DD6932"/>
    <w:rsid w:val="00DE22AE"/>
    <w:rsid w:val="00DE7795"/>
    <w:rsid w:val="00DF1DD1"/>
    <w:rsid w:val="00DF2C8B"/>
    <w:rsid w:val="00DF4077"/>
    <w:rsid w:val="00E0433E"/>
    <w:rsid w:val="00E04899"/>
    <w:rsid w:val="00E1104B"/>
    <w:rsid w:val="00E14BB7"/>
    <w:rsid w:val="00E1543E"/>
    <w:rsid w:val="00E2583B"/>
    <w:rsid w:val="00E26CD3"/>
    <w:rsid w:val="00E321B7"/>
    <w:rsid w:val="00E37481"/>
    <w:rsid w:val="00E57AC6"/>
    <w:rsid w:val="00E701C3"/>
    <w:rsid w:val="00E90835"/>
    <w:rsid w:val="00E95635"/>
    <w:rsid w:val="00EA3762"/>
    <w:rsid w:val="00EA402C"/>
    <w:rsid w:val="00EB03E6"/>
    <w:rsid w:val="00EC3343"/>
    <w:rsid w:val="00ED505F"/>
    <w:rsid w:val="00EE154B"/>
    <w:rsid w:val="00F008B4"/>
    <w:rsid w:val="00F01CE8"/>
    <w:rsid w:val="00F06564"/>
    <w:rsid w:val="00F106CB"/>
    <w:rsid w:val="00F20CCE"/>
    <w:rsid w:val="00F22F1C"/>
    <w:rsid w:val="00F2381C"/>
    <w:rsid w:val="00F26CDE"/>
    <w:rsid w:val="00F32BD1"/>
    <w:rsid w:val="00F33F16"/>
    <w:rsid w:val="00F37F4D"/>
    <w:rsid w:val="00F46067"/>
    <w:rsid w:val="00F5330D"/>
    <w:rsid w:val="00F577D6"/>
    <w:rsid w:val="00F65D5B"/>
    <w:rsid w:val="00F66B57"/>
    <w:rsid w:val="00F67C42"/>
    <w:rsid w:val="00F72281"/>
    <w:rsid w:val="00F728B9"/>
    <w:rsid w:val="00F75B79"/>
    <w:rsid w:val="00F83EE8"/>
    <w:rsid w:val="00F84667"/>
    <w:rsid w:val="00F84957"/>
    <w:rsid w:val="00F8518A"/>
    <w:rsid w:val="00F87A00"/>
    <w:rsid w:val="00F917B8"/>
    <w:rsid w:val="00FA358E"/>
    <w:rsid w:val="00FA380A"/>
    <w:rsid w:val="00FA7C00"/>
    <w:rsid w:val="00FB2032"/>
    <w:rsid w:val="00FB211A"/>
    <w:rsid w:val="00FB5E50"/>
    <w:rsid w:val="00FB72FF"/>
    <w:rsid w:val="00FC293A"/>
    <w:rsid w:val="00FC4138"/>
    <w:rsid w:val="00FC54BC"/>
    <w:rsid w:val="00FC5DBB"/>
    <w:rsid w:val="00FD103E"/>
    <w:rsid w:val="00FD2876"/>
    <w:rsid w:val="00FD3E6A"/>
    <w:rsid w:val="00FE246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BA9"/>
    <w:pPr>
      <w:keepNext/>
      <w:keepLines/>
      <w:tabs>
        <w:tab w:val="left" w:pos="851"/>
      </w:tabs>
      <w:spacing w:before="360" w:after="80" w:line="360" w:lineRule="auto"/>
      <w:outlineLvl w:val="0"/>
    </w:pPr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1"/>
    </w:pPr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2"/>
    </w:pPr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3"/>
    </w:pPr>
    <w:rPr>
      <w:rFonts w:ascii="Arial" w:eastAsia="DengXian Light" w:hAnsi="Arial" w:cs="Angsana New"/>
      <w:i/>
      <w:iCs/>
      <w:color w:val="2F5496"/>
      <w:kern w:val="2"/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4"/>
    </w:pPr>
    <w:rPr>
      <w:rFonts w:ascii="Arial" w:eastAsia="DengXian Light" w:hAnsi="Arial" w:cs="Angsana New"/>
      <w:color w:val="2F5496"/>
      <w:kern w:val="2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5"/>
    </w:pPr>
    <w:rPr>
      <w:rFonts w:ascii="Arial" w:eastAsia="DengXian Light" w:hAnsi="Arial" w:cs="Angsana New"/>
      <w:i/>
      <w:iCs/>
      <w:color w:val="595959"/>
      <w:kern w:val="2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6"/>
    </w:pPr>
    <w:rPr>
      <w:rFonts w:ascii="Arial" w:eastAsia="DengXian Light" w:hAnsi="Arial" w:cs="Angsana New"/>
      <w:color w:val="595959"/>
      <w:kern w:val="2"/>
      <w:sz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7"/>
    </w:pPr>
    <w:rPr>
      <w:rFonts w:ascii="Arial" w:eastAsia="DengXian Light" w:hAnsi="Arial" w:cs="Angsana New"/>
      <w:i/>
      <w:iCs/>
      <w:color w:val="272727"/>
      <w:kern w:val="2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8"/>
    </w:pPr>
    <w:rPr>
      <w:rFonts w:ascii="Arial" w:eastAsia="DengXian Light" w:hAnsi="Arial" w:cs="Angsana New"/>
      <w:color w:val="272727"/>
      <w:kern w:val="2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F20CCE"/>
  </w:style>
  <w:style w:type="paragraph" w:customStyle="1" w:styleId="msonormal0">
    <w:name w:val="msonormal"/>
    <w:basedOn w:val="prastasis"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9E3BA9"/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9E3BA9"/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E3BA9"/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9E3BA9"/>
    <w:rPr>
      <w:rFonts w:ascii="Arial" w:eastAsia="DengXian Light" w:hAnsi="Arial" w:cs="Angsana New"/>
      <w:i/>
      <w:iCs/>
      <w:color w:val="2F5496"/>
      <w:kern w:val="2"/>
      <w:sz w:val="24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9E3BA9"/>
    <w:rPr>
      <w:rFonts w:ascii="Arial" w:eastAsia="DengXian Light" w:hAnsi="Arial" w:cs="Angsana New"/>
      <w:color w:val="2F5496"/>
      <w:kern w:val="2"/>
      <w:sz w:val="24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9E3BA9"/>
    <w:rPr>
      <w:rFonts w:ascii="Arial" w:eastAsia="DengXian Light" w:hAnsi="Arial" w:cs="Angsana New"/>
      <w:i/>
      <w:iCs/>
      <w:color w:val="595959"/>
      <w:kern w:val="2"/>
      <w:sz w:val="24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9E3BA9"/>
    <w:rPr>
      <w:rFonts w:ascii="Arial" w:eastAsia="DengXian Light" w:hAnsi="Arial" w:cs="Angsana New"/>
      <w:color w:val="595959"/>
      <w:kern w:val="2"/>
      <w:sz w:val="24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9E3BA9"/>
    <w:rPr>
      <w:rFonts w:ascii="Arial" w:eastAsia="DengXian Light" w:hAnsi="Arial" w:cs="Angsana New"/>
      <w:i/>
      <w:iCs/>
      <w:color w:val="272727"/>
      <w:kern w:val="2"/>
      <w:sz w:val="24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9E3BA9"/>
    <w:rPr>
      <w:rFonts w:ascii="Arial" w:eastAsia="DengXian Light" w:hAnsi="Arial" w:cs="Angsana New"/>
      <w:color w:val="272727"/>
      <w:kern w:val="2"/>
      <w:sz w:val="24"/>
      <w:szCs w:val="22"/>
      <w:lang w:val="lt-LT"/>
    </w:rPr>
  </w:style>
  <w:style w:type="numbering" w:customStyle="1" w:styleId="Sraonra2">
    <w:name w:val="Sąrašo nėra2"/>
    <w:next w:val="Sraonra"/>
    <w:uiPriority w:val="99"/>
    <w:semiHidden/>
    <w:unhideWhenUsed/>
    <w:rsid w:val="009E3BA9"/>
  </w:style>
  <w:style w:type="paragraph" w:styleId="prastasiniatinklio">
    <w:name w:val="Normal (Web)"/>
    <w:basedOn w:val="prastasis"/>
    <w:uiPriority w:val="99"/>
    <w:semiHidden/>
    <w:unhideWhenUsed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3BA9"/>
    <w:pPr>
      <w:tabs>
        <w:tab w:val="left" w:pos="851"/>
      </w:tabs>
      <w:spacing w:after="0" w:line="240" w:lineRule="auto"/>
    </w:pPr>
    <w:rPr>
      <w:rFonts w:ascii="Arial" w:hAnsi="Arial" w:cs="Cordia New"/>
      <w:color w:val="000000"/>
      <w:sz w:val="20"/>
      <w:szCs w:val="20"/>
      <w:lang w:val="nl-NL"/>
    </w:rPr>
  </w:style>
  <w:style w:type="character" w:customStyle="1" w:styleId="KomentarotekstasDiagrama">
    <w:name w:val="Komentaro tekstas Diagrama"/>
    <w:link w:val="Komentarotekstas"/>
    <w:uiPriority w:val="99"/>
    <w:semiHidden/>
    <w:rsid w:val="009E3BA9"/>
    <w:rPr>
      <w:rFonts w:ascii="Arial" w:hAnsi="Arial" w:cs="Cordia New"/>
      <w:color w:val="000000"/>
      <w:lang w:val="nl-N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BA9"/>
    <w:pPr>
      <w:tabs>
        <w:tab w:val="left" w:pos="851"/>
      </w:tabs>
      <w:spacing w:after="80" w:line="240" w:lineRule="auto"/>
      <w:contextualSpacing/>
    </w:pPr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9E3BA9"/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BA9"/>
    <w:pPr>
      <w:tabs>
        <w:tab w:val="left" w:pos="851"/>
      </w:tabs>
      <w:spacing w:after="240" w:line="360" w:lineRule="auto"/>
    </w:pPr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9E3BA9"/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9E3BA9"/>
    <w:pPr>
      <w:tabs>
        <w:tab w:val="left" w:pos="720"/>
      </w:tabs>
    </w:pPr>
    <w:rPr>
      <w:rFonts w:eastAsia="DengXian" w:cs="Cordia New"/>
      <w:sz w:val="22"/>
      <w:szCs w:val="28"/>
      <w:lang w:val="lt-LT" w:eastAsia="zh-CN" w:bidi="th-TH"/>
    </w:rPr>
  </w:style>
  <w:style w:type="paragraph" w:styleId="Sraopastraipa">
    <w:name w:val="List Paragraph"/>
    <w:basedOn w:val="prastasis"/>
    <w:uiPriority w:val="34"/>
    <w:qFormat/>
    <w:rsid w:val="009E3BA9"/>
    <w:pPr>
      <w:tabs>
        <w:tab w:val="left" w:pos="851"/>
      </w:tabs>
      <w:spacing w:after="240" w:line="360" w:lineRule="auto"/>
      <w:ind w:left="720"/>
      <w:contextualSpacing/>
    </w:pPr>
    <w:rPr>
      <w:rFonts w:ascii="Arial" w:hAnsi="Arial" w:cs="Cordia New"/>
      <w:kern w:val="2"/>
      <w:sz w:val="24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BA9"/>
    <w:pPr>
      <w:tabs>
        <w:tab w:val="left" w:pos="851"/>
      </w:tabs>
      <w:spacing w:before="160" w:after="240" w:line="360" w:lineRule="auto"/>
      <w:jc w:val="center"/>
    </w:pPr>
    <w:rPr>
      <w:rFonts w:ascii="Arial" w:hAnsi="Arial" w:cs="Cordia New"/>
      <w:i/>
      <w:iCs/>
      <w:color w:val="404040"/>
      <w:kern w:val="2"/>
      <w:sz w:val="24"/>
      <w:lang w:val="lt-LT"/>
    </w:rPr>
  </w:style>
  <w:style w:type="character" w:customStyle="1" w:styleId="CitataDiagrama">
    <w:name w:val="Citata Diagrama"/>
    <w:link w:val="Citata"/>
    <w:uiPriority w:val="29"/>
    <w:rsid w:val="009E3BA9"/>
    <w:rPr>
      <w:rFonts w:ascii="Arial" w:hAnsi="Arial" w:cs="Cordia New"/>
      <w:i/>
      <w:iCs/>
      <w:color w:val="404040"/>
      <w:kern w:val="2"/>
      <w:sz w:val="24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BA9"/>
    <w:pPr>
      <w:pBdr>
        <w:top w:val="single" w:sz="4" w:space="10" w:color="2F5496"/>
        <w:bottom w:val="single" w:sz="4" w:space="10" w:color="2F5496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Arial" w:hAnsi="Arial" w:cs="Cordia New"/>
      <w:i/>
      <w:iCs/>
      <w:color w:val="2F5496"/>
      <w:kern w:val="2"/>
      <w:sz w:val="24"/>
      <w:lang w:val="lt-LT"/>
    </w:rPr>
  </w:style>
  <w:style w:type="character" w:customStyle="1" w:styleId="IskirtacitataDiagrama">
    <w:name w:val="Išskirta citata Diagrama"/>
    <w:link w:val="Iskirtacitata"/>
    <w:uiPriority w:val="30"/>
    <w:rsid w:val="009E3BA9"/>
    <w:rPr>
      <w:rFonts w:ascii="Arial" w:hAnsi="Arial" w:cs="Cordia New"/>
      <w:i/>
      <w:iCs/>
      <w:color w:val="2F5496"/>
      <w:kern w:val="2"/>
      <w:sz w:val="24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zu1Char">
    <w:name w:val="zuž1 Char"/>
    <w:link w:val="zu1"/>
    <w:semiHidden/>
    <w:locked/>
    <w:rsid w:val="009E3BA9"/>
    <w:rPr>
      <w:rFonts w:ascii="Arial" w:hAnsi="Arial" w:cs="Arial"/>
      <w:spacing w:val="-2"/>
      <w:sz w:val="24"/>
    </w:rPr>
  </w:style>
  <w:style w:type="paragraph" w:customStyle="1" w:styleId="zu1">
    <w:name w:val="zuž1"/>
    <w:basedOn w:val="prastasis"/>
    <w:link w:val="zu1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hAnsi="Arial" w:cs="Arial"/>
      <w:spacing w:val="-2"/>
      <w:sz w:val="24"/>
      <w:szCs w:val="20"/>
    </w:rPr>
  </w:style>
  <w:style w:type="character" w:customStyle="1" w:styleId="claimzu2Char">
    <w:name w:val="claimzuž2 Char"/>
    <w:link w:val="claimzu2"/>
    <w:semiHidden/>
    <w:locked/>
    <w:rsid w:val="009E3BA9"/>
    <w:rPr>
      <w:rFonts w:ascii="Arial" w:eastAsia="Times New Roman" w:hAnsi="Arial" w:cs="Arial"/>
      <w:spacing w:val="-4"/>
      <w:sz w:val="24"/>
      <w:szCs w:val="24"/>
    </w:rPr>
  </w:style>
  <w:style w:type="paragraph" w:customStyle="1" w:styleId="claimzu2">
    <w:name w:val="claimzuž2"/>
    <w:basedOn w:val="prastasis"/>
    <w:link w:val="claimzu2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eastAsia="Times New Roman" w:hAnsi="Arial" w:cs="Arial"/>
      <w:spacing w:val="-4"/>
      <w:sz w:val="24"/>
      <w:szCs w:val="24"/>
    </w:rPr>
  </w:style>
  <w:style w:type="character" w:styleId="Eilutsnumeris">
    <w:name w:val="line number"/>
    <w:uiPriority w:val="99"/>
    <w:semiHidden/>
    <w:unhideWhenUsed/>
    <w:rsid w:val="009E3BA9"/>
    <w:rPr>
      <w:rFonts w:ascii="Times New Roman" w:hAnsi="Times New Roman" w:cs="Times New Roman" w:hint="default"/>
      <w:sz w:val="20"/>
    </w:rPr>
  </w:style>
  <w:style w:type="character" w:styleId="Rykuspabraukimas">
    <w:name w:val="Intense Emphasis"/>
    <w:uiPriority w:val="21"/>
    <w:qFormat/>
    <w:rsid w:val="009E3BA9"/>
    <w:rPr>
      <w:i/>
      <w:iCs/>
      <w:color w:val="2F5496"/>
    </w:rPr>
  </w:style>
  <w:style w:type="character" w:styleId="Rykinuoroda">
    <w:name w:val="Intense Reference"/>
    <w:uiPriority w:val="32"/>
    <w:qFormat/>
    <w:rsid w:val="009E3BA9"/>
    <w:rPr>
      <w:b/>
      <w:bCs/>
      <w:smallCaps/>
      <w:color w:val="2F5496"/>
      <w:spacing w:val="5"/>
    </w:rPr>
  </w:style>
  <w:style w:type="character" w:customStyle="1" w:styleId="bold">
    <w:name w:val="bold"/>
    <w:basedOn w:val="Numatytasispastraiposriftas"/>
    <w:rsid w:val="009E3BA9"/>
  </w:style>
  <w:style w:type="character" w:customStyle="1" w:styleId="skiptranslate">
    <w:name w:val="skiptranslate"/>
    <w:basedOn w:val="Numatytasispastraiposriftas"/>
    <w:rsid w:val="009E3BA9"/>
  </w:style>
  <w:style w:type="numbering" w:customStyle="1" w:styleId="Sraonra3">
    <w:name w:val="Sąrašo nėra3"/>
    <w:next w:val="Sraonra"/>
    <w:uiPriority w:val="99"/>
    <w:semiHidden/>
    <w:unhideWhenUsed/>
    <w:rsid w:val="00A33A1B"/>
  </w:style>
  <w:style w:type="numbering" w:customStyle="1" w:styleId="Sraonra4">
    <w:name w:val="Sąrašo nėra4"/>
    <w:next w:val="Sraonra"/>
    <w:uiPriority w:val="99"/>
    <w:semiHidden/>
    <w:unhideWhenUsed/>
    <w:rsid w:val="00DB11E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11E7"/>
    <w:pPr>
      <w:tabs>
        <w:tab w:val="clear" w:pos="851"/>
      </w:tabs>
      <w:spacing w:after="160" w:line="276" w:lineRule="auto"/>
    </w:pPr>
    <w:rPr>
      <w:rFonts w:ascii="Aptos" w:eastAsia="DengXian" w:hAnsi="Aptos" w:cs="Angsana New"/>
      <w:b/>
      <w:bCs/>
      <w:color w:val="auto"/>
      <w:kern w:val="2"/>
      <w:sz w:val="24"/>
      <w:szCs w:val="24"/>
      <w:lang w:val="lt-LT" w:eastAsia="zh-CN"/>
    </w:rPr>
  </w:style>
  <w:style w:type="character" w:customStyle="1" w:styleId="KomentarotemaDiagrama">
    <w:name w:val="Komentaro tema Diagrama"/>
    <w:link w:val="Komentarotema"/>
    <w:uiPriority w:val="99"/>
    <w:semiHidden/>
    <w:rsid w:val="00DB11E7"/>
    <w:rPr>
      <w:rFonts w:ascii="Aptos" w:eastAsia="DengXian" w:hAnsi="Aptos" w:cs="Angsana New"/>
      <w:b/>
      <w:bCs/>
      <w:color w:val="000000"/>
      <w:kern w:val="2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B11E7"/>
    <w:rPr>
      <w:sz w:val="21"/>
      <w:szCs w:val="21"/>
    </w:rPr>
  </w:style>
  <w:style w:type="numbering" w:customStyle="1" w:styleId="Sraonra5">
    <w:name w:val="Sąrašo nėra5"/>
    <w:next w:val="Sraonra"/>
    <w:uiPriority w:val="99"/>
    <w:semiHidden/>
    <w:unhideWhenUsed/>
    <w:rsid w:val="006519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96C"/>
    <w:pPr>
      <w:spacing w:after="0" w:line="240" w:lineRule="auto"/>
    </w:pPr>
    <w:rPr>
      <w:rFonts w:ascii="Tahoma" w:eastAsia="Aptos" w:hAnsi="Tahoma" w:cs="Tahoma"/>
      <w:kern w:val="2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65196C"/>
    <w:rPr>
      <w:rFonts w:ascii="Tahoma" w:eastAsia="Aptos" w:hAnsi="Tahoma" w:cs="Tahoma"/>
      <w:kern w:val="2"/>
      <w:sz w:val="16"/>
      <w:szCs w:val="16"/>
      <w:lang w:val="lt-LT"/>
    </w:rPr>
  </w:style>
  <w:style w:type="character" w:styleId="Vietosrezervavimoenklotekstas">
    <w:name w:val="Placeholder Text"/>
    <w:uiPriority w:val="99"/>
    <w:semiHidden/>
    <w:rsid w:val="006519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7832-A3DA-4939-8B55-E8891D89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753</Words>
  <Characters>11023</Characters>
  <Application>Microsoft Office Word</Application>
  <DocSecurity>0</DocSecurity>
  <Lines>169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127</cp:revision>
  <dcterms:created xsi:type="dcterms:W3CDTF">2024-11-07T16:40:00Z</dcterms:created>
  <dcterms:modified xsi:type="dcterms:W3CDTF">2025-06-27T10:05:00Z</dcterms:modified>
</cp:coreProperties>
</file>