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6E95" w14:textId="72A9B2E8" w:rsidR="00345C5A" w:rsidRPr="00345C5A" w:rsidRDefault="006F1CEB" w:rsidP="006F1CEB">
      <w:pPr>
        <w:pStyle w:val="Sraopastraipa"/>
        <w:tabs>
          <w:tab w:val="left" w:pos="142"/>
        </w:tabs>
        <w:spacing w:after="0" w:line="360" w:lineRule="auto"/>
        <w:ind w:left="0" w:firstLine="720"/>
        <w:jc w:val="both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t xml:space="preserve">1. </w:t>
      </w:r>
      <w:r w:rsidR="00345C5A" w:rsidRPr="00345C5A">
        <w:rPr>
          <w:rFonts w:ascii="Helvetica" w:hAnsi="Helvetica" w:cs="Arial"/>
          <w:sz w:val="20"/>
          <w:lang w:val="lt-LT"/>
        </w:rPr>
        <w:t xml:space="preserve">Farmacinė kompozicija, apimanti kontroliuojamo atpalaidavimo PTH junginį arba jo farmaciniu požiūriu priimtiną druską, hidratą ar </w:t>
      </w:r>
      <w:proofErr w:type="spellStart"/>
      <w:r w:rsidR="00345C5A" w:rsidRPr="00345C5A">
        <w:rPr>
          <w:rFonts w:ascii="Helvetica" w:hAnsi="Helvetica" w:cs="Arial"/>
          <w:sz w:val="20"/>
          <w:lang w:val="lt-LT"/>
        </w:rPr>
        <w:t>solvatą</w:t>
      </w:r>
      <w:proofErr w:type="spellEnd"/>
      <w:r w:rsidR="00345C5A" w:rsidRPr="00345C5A">
        <w:rPr>
          <w:rFonts w:ascii="Helvetica" w:hAnsi="Helvetica" w:cs="Arial"/>
          <w:sz w:val="20"/>
          <w:lang w:val="lt-LT"/>
        </w:rPr>
        <w:t xml:space="preserve">, skirta naudoti </w:t>
      </w:r>
      <w:proofErr w:type="spellStart"/>
      <w:r w:rsidR="00345C5A" w:rsidRPr="00345C5A">
        <w:rPr>
          <w:rFonts w:ascii="Helvetica" w:hAnsi="Helvetica" w:cs="Arial"/>
          <w:sz w:val="20"/>
          <w:lang w:val="lt-LT"/>
        </w:rPr>
        <w:t>hipoparatiroidizmo</w:t>
      </w:r>
      <w:proofErr w:type="spellEnd"/>
      <w:r w:rsidR="00345C5A" w:rsidRPr="00345C5A">
        <w:rPr>
          <w:rFonts w:ascii="Helvetica" w:hAnsi="Helvetica" w:cs="Arial"/>
          <w:sz w:val="20"/>
          <w:lang w:val="lt-LT"/>
        </w:rPr>
        <w:t xml:space="preserve"> gydymo būde, kur būdas taikomas pagal dozavimo schemą, kai dozės koregavimas atliekamas esant </w:t>
      </w:r>
      <w:proofErr w:type="spellStart"/>
      <w:r w:rsidR="00345C5A" w:rsidRPr="00345C5A">
        <w:rPr>
          <w:rFonts w:ascii="Helvetica" w:hAnsi="Helvetica" w:cs="Arial"/>
          <w:sz w:val="20"/>
          <w:lang w:val="lt-LT"/>
        </w:rPr>
        <w:t>hipokalcemijai</w:t>
      </w:r>
      <w:proofErr w:type="spellEnd"/>
      <w:r w:rsidR="00345C5A" w:rsidRPr="00345C5A">
        <w:rPr>
          <w:rFonts w:ascii="Helvetica" w:hAnsi="Helvetica" w:cs="Arial"/>
          <w:sz w:val="20"/>
          <w:lang w:val="lt-LT"/>
        </w:rPr>
        <w:t xml:space="preserve"> ar </w:t>
      </w:r>
      <w:proofErr w:type="spellStart"/>
      <w:r w:rsidR="00345C5A" w:rsidRPr="00345C5A">
        <w:rPr>
          <w:rFonts w:ascii="Helvetica" w:hAnsi="Helvetica" w:cs="Arial"/>
          <w:sz w:val="20"/>
          <w:lang w:val="lt-LT"/>
        </w:rPr>
        <w:t>hiperkalcemijai</w:t>
      </w:r>
      <w:proofErr w:type="spellEnd"/>
      <w:r w:rsidR="00345C5A" w:rsidRPr="00345C5A">
        <w:rPr>
          <w:rFonts w:ascii="Helvetica" w:hAnsi="Helvetica" w:cs="Arial"/>
          <w:sz w:val="20"/>
          <w:lang w:val="lt-LT"/>
        </w:rPr>
        <w:t xml:space="preserve"> intervalais, ne didesniais</w:t>
      </w:r>
      <w:r w:rsidR="00345C5A" w:rsidRPr="00345C5A">
        <w:rPr>
          <w:rFonts w:ascii="Helvetica" w:hAnsi="Helvetica"/>
          <w:sz w:val="20"/>
          <w:lang w:val="lt-LT"/>
        </w:rPr>
        <w:t xml:space="preserve"> </w:t>
      </w:r>
      <w:r w:rsidR="00345C5A" w:rsidRPr="00345C5A">
        <w:rPr>
          <w:rFonts w:ascii="Helvetica" w:hAnsi="Helvetica" w:cs="Arial"/>
          <w:sz w:val="20"/>
          <w:lang w:val="lt-LT"/>
        </w:rPr>
        <w:t>kaip 25 %, ir kur kontroliuojamo atpalaidavimo PTH junginys atpalaiduoja bent vieną PTH molekulę, kurios pusinio atpalaidavimo laikas vandeniniame buferiniame tirpale, pH 7,4 ir 37 °C, yra ne trumpesnis kaip 12 valandų, kur kontroliuojamo atpalaidavimo PTH junginys yra junginys, kurio formulė (</w:t>
      </w:r>
      <w:proofErr w:type="spellStart"/>
      <w:r w:rsidR="00345C5A" w:rsidRPr="00345C5A">
        <w:rPr>
          <w:rFonts w:ascii="Helvetica" w:hAnsi="Helvetica" w:cs="Arial"/>
          <w:sz w:val="20"/>
          <w:lang w:val="lt-LT"/>
        </w:rPr>
        <w:t>Ia</w:t>
      </w:r>
      <w:proofErr w:type="spellEnd"/>
      <w:r w:rsidR="00345C5A" w:rsidRPr="00345C5A">
        <w:rPr>
          <w:rFonts w:ascii="Helvetica" w:hAnsi="Helvetica" w:cs="Arial"/>
          <w:sz w:val="20"/>
          <w:lang w:val="lt-LT"/>
        </w:rPr>
        <w:t xml:space="preserve">) </w:t>
      </w:r>
    </w:p>
    <w:p w14:paraId="27253C65" w14:textId="1D4744CF" w:rsidR="00345C5A" w:rsidRPr="00345C5A" w:rsidRDefault="00345C5A" w:rsidP="00345C5A">
      <w:pPr>
        <w:tabs>
          <w:tab w:val="left" w:pos="142"/>
        </w:tabs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/>
          <w:noProof/>
          <w:sz w:val="20"/>
          <w:lang w:val="lt-LT"/>
        </w:rPr>
        <w:pict w14:anchorId="26F37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32" type="#_x0000_t75" alt="A black text on a white background&#10;&#10;Description automatically generated" style="width:109.5pt;height:31.5pt;visibility:visible;mso-wrap-style:square">
            <v:imagedata r:id="rId7" o:title="A black text on a white background&#10;&#10;Description automatically generated"/>
          </v:shape>
        </w:pict>
      </w:r>
    </w:p>
    <w:p w14:paraId="5A8AC89B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kur Z apima fragmentą, kurio formulė (b)</w:t>
      </w:r>
    </w:p>
    <w:p w14:paraId="5B4EDE19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center"/>
        <w:rPr>
          <w:rFonts w:ascii="Helvetica" w:hAnsi="Helvetica"/>
          <w:noProof/>
          <w:sz w:val="20"/>
          <w:lang w:val="lt-LT"/>
        </w:rPr>
      </w:pPr>
      <w:r w:rsidRPr="00345C5A">
        <w:rPr>
          <w:rFonts w:ascii="Helvetica" w:hAnsi="Helvetica"/>
          <w:noProof/>
          <w:sz w:val="20"/>
          <w:lang w:val="lt-LT"/>
        </w:rPr>
        <w:pict w14:anchorId="64874783">
          <v:shape id="Picture 5" o:spid="_x0000_i1031" type="#_x0000_t75" alt="A black line drawing of a molecule&#10;&#10;Description automatically generated" style="width:346.5pt;height:66pt;visibility:visible;mso-wrap-style:square">
            <v:imagedata r:id="rId8" o:title="A black line drawing of a molecule&#10;&#10;Description automatically generated"/>
          </v:shape>
        </w:pict>
      </w:r>
    </w:p>
    <w:p w14:paraId="193EBAF4" w14:textId="4A87EAFE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kur brūkšninė linija rodo prisijungimą prie -L</w:t>
      </w:r>
      <w:r w:rsidRPr="00345C5A">
        <w:rPr>
          <w:rFonts w:ascii="Helvetica" w:hAnsi="Helvetica" w:cs="Arial"/>
          <w:sz w:val="20"/>
          <w:vertAlign w:val="superscript"/>
          <w:lang w:val="lt-LT"/>
        </w:rPr>
        <w:t>2</w:t>
      </w:r>
      <w:r w:rsidRPr="00345C5A">
        <w:rPr>
          <w:rFonts w:ascii="Helvetica" w:hAnsi="Helvetica" w:cs="Arial"/>
          <w:sz w:val="20"/>
          <w:lang w:val="lt-LT"/>
        </w:rPr>
        <w:t>- arba prie likusios -Z dalies; o</w:t>
      </w:r>
    </w:p>
    <w:p w14:paraId="1696D18C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m ir p nepriklausomai vienas nuo kito yra sveikieji skaičiai intervale nuo 400 iki 500 imtinai, ir</w:t>
      </w:r>
    </w:p>
    <w:p w14:paraId="32F1B676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-L</w:t>
      </w:r>
      <w:r w:rsidRPr="00345C5A">
        <w:rPr>
          <w:rFonts w:ascii="Helvetica" w:hAnsi="Helvetica" w:cs="Arial"/>
          <w:sz w:val="20"/>
          <w:vertAlign w:val="superscript"/>
          <w:lang w:val="lt-LT"/>
        </w:rPr>
        <w:t>1</w:t>
      </w:r>
      <w:r w:rsidRPr="00345C5A">
        <w:rPr>
          <w:rFonts w:ascii="Helvetica" w:hAnsi="Helvetica" w:cs="Arial"/>
          <w:sz w:val="20"/>
          <w:lang w:val="lt-LT"/>
        </w:rPr>
        <w:t>-L</w:t>
      </w:r>
      <w:r w:rsidRPr="00345C5A">
        <w:rPr>
          <w:rFonts w:ascii="Helvetica" w:hAnsi="Helvetica" w:cs="Arial"/>
          <w:sz w:val="20"/>
          <w:vertAlign w:val="superscript"/>
          <w:lang w:val="lt-LT"/>
        </w:rPr>
        <w:t>2</w:t>
      </w:r>
      <w:r w:rsidRPr="00345C5A">
        <w:rPr>
          <w:rFonts w:ascii="Helvetica" w:hAnsi="Helvetica" w:cs="Arial"/>
          <w:sz w:val="20"/>
          <w:lang w:val="lt-LT"/>
        </w:rPr>
        <w:t>- formulė yra:</w:t>
      </w:r>
    </w:p>
    <w:p w14:paraId="5656EA66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center"/>
        <w:rPr>
          <w:rFonts w:ascii="Helvetica" w:hAnsi="Helvetica" w:cs="Arial"/>
          <w:noProof/>
          <w:sz w:val="20"/>
          <w:lang w:val="lt-LT"/>
        </w:rPr>
      </w:pPr>
      <w:r w:rsidRPr="00345C5A">
        <w:rPr>
          <w:rFonts w:ascii="Helvetica" w:hAnsi="Helvetica" w:cs="Arial"/>
          <w:noProof/>
          <w:sz w:val="20"/>
          <w:lang w:val="lt-LT"/>
        </w:rPr>
        <w:pict w14:anchorId="0467F3CA">
          <v:shape id="Picture 4" o:spid="_x0000_i1030" type="#_x0000_t75" alt="A chemical formula of a molecule&#10;&#10;Description automatically generated with medium confidence" style="width:290.25pt;height:63.75pt;visibility:visible;mso-wrap-style:square">
            <v:imagedata r:id="rId9" o:title="A chemical formula of a molecule&#10;&#10;Description automatically generated with medium confidence"/>
          </v:shape>
        </w:pict>
      </w:r>
    </w:p>
    <w:p w14:paraId="7DF19518" w14:textId="7850FF16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 xml:space="preserve">kur nepažymėta brūkšninė linija rodo prisijungimą </w:t>
      </w:r>
      <w:proofErr w:type="spellStart"/>
      <w:r w:rsidRPr="00345C5A">
        <w:rPr>
          <w:rFonts w:ascii="Helvetica" w:hAnsi="Helvetica" w:cs="Arial"/>
          <w:sz w:val="20"/>
          <w:lang w:val="lt-LT"/>
        </w:rPr>
        <w:t>amidine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jungtimi prie -D azoto, o žvaigždute pažymėta brūkšninė linija rodo prisijungimą prie -Z, kur -D seka yra SEQ ID </w:t>
      </w:r>
      <w:bookmarkStart w:id="0" w:name="_Hlk187966305"/>
      <w:r w:rsidRPr="00345C5A">
        <w:rPr>
          <w:rFonts w:ascii="Helvetica" w:hAnsi="Helvetica" w:cs="Arial"/>
          <w:sz w:val="20"/>
          <w:lang w:val="lt-LT"/>
        </w:rPr>
        <w:t>Nr. 51</w:t>
      </w:r>
      <w:bookmarkEnd w:id="0"/>
      <w:r w:rsidRPr="00345C5A">
        <w:rPr>
          <w:rFonts w:ascii="Helvetica" w:hAnsi="Helvetica" w:cs="Arial"/>
          <w:sz w:val="20"/>
          <w:lang w:val="lt-LT"/>
        </w:rPr>
        <w:t>, o x yra 1.</w:t>
      </w:r>
    </w:p>
    <w:p w14:paraId="293EABFD" w14:textId="77777777" w:rsidR="006F1CEB" w:rsidRDefault="006F1CEB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F1BDD1" w14:textId="2B81AFB6" w:rsidR="00345C5A" w:rsidRPr="00345C5A" w:rsidRDefault="00345C5A" w:rsidP="006F1CEB">
      <w:pPr>
        <w:tabs>
          <w:tab w:val="left" w:pos="142"/>
        </w:tabs>
        <w:spacing w:after="0" w:line="360" w:lineRule="auto"/>
        <w:ind w:firstLine="720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 xml:space="preserve">2. Farmacinė kompozicija, skirta naudoti pagal 1 punktą, kur būdas taikomas pagal dozavimo schemą, kur dozės koregavimas atliekamas esant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hipokalcemijai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hiperkalcemijai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intervalais, ne didesniais kaip 20 %.</w:t>
      </w:r>
    </w:p>
    <w:p w14:paraId="40101E10" w14:textId="77777777" w:rsidR="00345C5A" w:rsidRPr="00345C5A" w:rsidRDefault="00345C5A" w:rsidP="00345C5A">
      <w:pPr>
        <w:tabs>
          <w:tab w:val="left" w:pos="14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0BDDC1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 xml:space="preserve">3. Farmacinė kompozicija, skirta naudoti pagal 1 arba 2 punktą, kur būdas taikomas pagal dozavimo schemą, </w:t>
      </w:r>
      <w:bookmarkStart w:id="1" w:name="_Hlk187961165"/>
      <w:r w:rsidRPr="00345C5A">
        <w:rPr>
          <w:rFonts w:ascii="Helvetica" w:hAnsi="Helvetica" w:cs="Arial"/>
          <w:sz w:val="20"/>
          <w:lang w:val="lt-LT"/>
        </w:rPr>
        <w:t xml:space="preserve">kur dozės koregavimas atliekamas esant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hipokalcemijai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hiperkalcemijai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intervalais, ne didesniais kaip </w:t>
      </w:r>
      <w:bookmarkEnd w:id="1"/>
      <w:r w:rsidRPr="00345C5A">
        <w:rPr>
          <w:rFonts w:ascii="Helvetica" w:hAnsi="Helvetica" w:cs="Arial"/>
          <w:sz w:val="20"/>
          <w:lang w:val="lt-LT"/>
        </w:rPr>
        <w:t>15 %.</w:t>
      </w:r>
    </w:p>
    <w:p w14:paraId="4517147D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247255A" w14:textId="52FB04B5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4.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 xml:space="preserve">3 punktų, kur būdas taikomas pagal dozavimo schemą, kur dozės koregavimas atliekamas esant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hipokalcemijai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hiperkalcemijai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intervalais, ne didesniais kaip 10 %.</w:t>
      </w:r>
    </w:p>
    <w:p w14:paraId="5B1FF774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E70F1A5" w14:textId="34B7F678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5.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 xml:space="preserve">4 punktų, kur būdas taikomas pagal dozavimo schemą, kur dozės koregavimas atliekamas esant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hipokalcemijai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45C5A">
        <w:rPr>
          <w:rFonts w:ascii="Helvetica" w:hAnsi="Helvetica" w:cs="Arial"/>
          <w:sz w:val="20"/>
          <w:lang w:val="lt-LT"/>
        </w:rPr>
        <w:t>hiperkalcemijai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intervalais, lygiais 10 %.</w:t>
      </w:r>
    </w:p>
    <w:p w14:paraId="63F023FD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DF31BD6" w14:textId="47000660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6.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5 punktų, kur farmacinė kompozicija pacientui skiriama ne dažniau kaip kartą per 24 valandas.</w:t>
      </w:r>
    </w:p>
    <w:p w14:paraId="6433E651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27FB2DD" w14:textId="3EF162ED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7.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6 punktų, kur farmacinė kompozicija pacientui skiriama kartą per 24 valandas.</w:t>
      </w:r>
    </w:p>
    <w:p w14:paraId="42A22637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7FDA51F" w14:textId="66C716FF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8.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6 punktų, kur farmacinė kompozicija pacientui skiriama kartą per 48 valandas.</w:t>
      </w:r>
    </w:p>
    <w:p w14:paraId="7715DE82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8B47221" w14:textId="2DB33548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9.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6 punktų, kur farmacinė kompozicija pacientui skiriama kartą per savaitę.</w:t>
      </w:r>
    </w:p>
    <w:p w14:paraId="0B88B564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D8B03A1" w14:textId="2B53100A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10.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9 punktų, kur farmacinė kompozicija pacientui skiriama po oda.</w:t>
      </w:r>
    </w:p>
    <w:p w14:paraId="14FAD9BB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916EE56" w14:textId="57539B79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11. Farmacinė kompozicija, skirta naudoti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10 punktų, kur -Z yra fragmentas, kurio formulė (b).</w:t>
      </w:r>
    </w:p>
    <w:p w14:paraId="16284816" w14:textId="77777777" w:rsidR="00345C5A" w:rsidRPr="00345C5A" w:rsidRDefault="00345C5A" w:rsidP="00345C5A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8F66F72" w14:textId="7CC3C188" w:rsidR="00F6726F" w:rsidRPr="00345C5A" w:rsidRDefault="00345C5A" w:rsidP="00D70DE5">
      <w:pPr>
        <w:tabs>
          <w:tab w:val="left" w:pos="142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45C5A">
        <w:rPr>
          <w:rFonts w:ascii="Helvetica" w:hAnsi="Helvetica" w:cs="Arial"/>
          <w:sz w:val="20"/>
          <w:lang w:val="lt-LT"/>
        </w:rPr>
        <w:t>12. Farmacinė kompozicija pagal bet kurį iš 1</w:t>
      </w:r>
      <w:r w:rsidR="00D70DE5">
        <w:rPr>
          <w:rFonts w:ascii="Helvetica" w:hAnsi="Helvetica" w:cs="Arial"/>
          <w:sz w:val="20"/>
          <w:lang w:val="lt-LT"/>
        </w:rPr>
        <w:t>–</w:t>
      </w:r>
      <w:r w:rsidRPr="00345C5A">
        <w:rPr>
          <w:rFonts w:ascii="Helvetica" w:hAnsi="Helvetica" w:cs="Arial"/>
          <w:sz w:val="20"/>
          <w:lang w:val="lt-LT"/>
        </w:rPr>
        <w:t>11 punktų, kur</w:t>
      </w:r>
      <w:r w:rsidRPr="00345C5A">
        <w:rPr>
          <w:rFonts w:ascii="Helvetica" w:hAnsi="Helvetica" w:cs="Arial"/>
          <w:sz w:val="20"/>
          <w:lang w:val="lt-LT"/>
        </w:rPr>
        <w:t xml:space="preserve"> </w:t>
      </w:r>
      <w:r w:rsidRPr="00345C5A">
        <w:rPr>
          <w:rFonts w:ascii="Helvetica" w:hAnsi="Helvetica" w:cs="Arial"/>
          <w:color w:val="000000"/>
          <w:sz w:val="20"/>
          <w:shd w:val="clear" w:color="auto" w:fill="FFFFFF"/>
          <w:lang w:val="lt-LT"/>
        </w:rPr>
        <w:t>-L</w:t>
      </w:r>
      <w:r w:rsidRPr="00345C5A">
        <w:rPr>
          <w:rFonts w:ascii="Helvetica" w:hAnsi="Helvetica" w:cs="Arial"/>
          <w:color w:val="000000"/>
          <w:sz w:val="20"/>
          <w:shd w:val="clear" w:color="auto" w:fill="FFFFFF"/>
          <w:vertAlign w:val="superscript"/>
          <w:lang w:val="lt-LT"/>
        </w:rPr>
        <w:t>1</w:t>
      </w:r>
      <w:r w:rsidRPr="00345C5A">
        <w:rPr>
          <w:rFonts w:ascii="Helvetica" w:hAnsi="Helvetica" w:cs="Arial"/>
          <w:color w:val="000000"/>
          <w:sz w:val="20"/>
          <w:shd w:val="clear" w:color="auto" w:fill="FFFFFF"/>
          <w:lang w:val="lt-LT"/>
        </w:rPr>
        <w:t>-L</w:t>
      </w:r>
      <w:r w:rsidRPr="00345C5A">
        <w:rPr>
          <w:rFonts w:ascii="Helvetica" w:hAnsi="Helvetica" w:cs="Arial"/>
          <w:color w:val="000000"/>
          <w:sz w:val="20"/>
          <w:shd w:val="clear" w:color="auto" w:fill="FFFFFF"/>
          <w:vertAlign w:val="superscript"/>
          <w:lang w:val="lt-LT"/>
        </w:rPr>
        <w:t>2</w:t>
      </w:r>
      <w:r w:rsidRPr="00345C5A">
        <w:rPr>
          <w:rFonts w:ascii="Helvetica" w:hAnsi="Helvetica" w:cs="Arial"/>
          <w:sz w:val="20"/>
          <w:szCs w:val="28"/>
          <w:lang w:val="lt-LT"/>
        </w:rPr>
        <w:t xml:space="preserve">- </w:t>
      </w:r>
      <w:proofErr w:type="spellStart"/>
      <w:r w:rsidRPr="00345C5A">
        <w:rPr>
          <w:rFonts w:ascii="Helvetica" w:hAnsi="Helvetica" w:cs="Arial"/>
          <w:sz w:val="20"/>
          <w:lang w:val="lt-LT"/>
        </w:rPr>
        <w:t>amidine</w:t>
      </w:r>
      <w:proofErr w:type="spellEnd"/>
      <w:r w:rsidRPr="00345C5A">
        <w:rPr>
          <w:rFonts w:ascii="Helvetica" w:hAnsi="Helvetica" w:cs="Arial"/>
          <w:sz w:val="20"/>
          <w:lang w:val="lt-LT"/>
        </w:rPr>
        <w:t xml:space="preserve"> jungtimi prijungtos prie D N-galo amino funkcinės grupės.</w:t>
      </w:r>
    </w:p>
    <w:sectPr w:rsidR="00F6726F" w:rsidRPr="00345C5A" w:rsidSect="00345C5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9EA5" w14:textId="77777777" w:rsidR="00C42AA6" w:rsidRDefault="00C42AA6" w:rsidP="007B0A41">
      <w:pPr>
        <w:spacing w:after="0" w:line="240" w:lineRule="auto"/>
      </w:pPr>
      <w:r>
        <w:separator/>
      </w:r>
    </w:p>
  </w:endnote>
  <w:endnote w:type="continuationSeparator" w:id="0">
    <w:p w14:paraId="3E91EE67" w14:textId="77777777" w:rsidR="00C42AA6" w:rsidRDefault="00C42AA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366F" w14:textId="77777777" w:rsidR="00C42AA6" w:rsidRDefault="00C42AA6" w:rsidP="007B0A41">
      <w:pPr>
        <w:spacing w:after="0" w:line="240" w:lineRule="auto"/>
      </w:pPr>
      <w:r>
        <w:separator/>
      </w:r>
    </w:p>
  </w:footnote>
  <w:footnote w:type="continuationSeparator" w:id="0">
    <w:p w14:paraId="44648495" w14:textId="77777777" w:rsidR="00C42AA6" w:rsidRDefault="00C42AA6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A0A3C"/>
    <w:multiLevelType w:val="hybridMultilevel"/>
    <w:tmpl w:val="9482D9F2"/>
    <w:lvl w:ilvl="0" w:tplc="6CF45F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13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81A80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1D56"/>
    <w:rsid w:val="001668DF"/>
    <w:rsid w:val="00167C76"/>
    <w:rsid w:val="00192F10"/>
    <w:rsid w:val="001A3662"/>
    <w:rsid w:val="001A3E8E"/>
    <w:rsid w:val="001B452C"/>
    <w:rsid w:val="001C1CC3"/>
    <w:rsid w:val="001C33D1"/>
    <w:rsid w:val="001D3F4E"/>
    <w:rsid w:val="001D7923"/>
    <w:rsid w:val="001F266E"/>
    <w:rsid w:val="001F76E2"/>
    <w:rsid w:val="00211C3F"/>
    <w:rsid w:val="0021404B"/>
    <w:rsid w:val="00223910"/>
    <w:rsid w:val="0022569F"/>
    <w:rsid w:val="0022707B"/>
    <w:rsid w:val="00227CEA"/>
    <w:rsid w:val="00234E11"/>
    <w:rsid w:val="00235254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24181"/>
    <w:rsid w:val="00334817"/>
    <w:rsid w:val="00345C5A"/>
    <w:rsid w:val="003636D8"/>
    <w:rsid w:val="003700E9"/>
    <w:rsid w:val="00370A78"/>
    <w:rsid w:val="00372A7E"/>
    <w:rsid w:val="00391C21"/>
    <w:rsid w:val="003A0D71"/>
    <w:rsid w:val="003A2C71"/>
    <w:rsid w:val="003A614C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328F"/>
    <w:rsid w:val="00431822"/>
    <w:rsid w:val="00434733"/>
    <w:rsid w:val="00443029"/>
    <w:rsid w:val="0044384C"/>
    <w:rsid w:val="00452CF1"/>
    <w:rsid w:val="00473E17"/>
    <w:rsid w:val="00490017"/>
    <w:rsid w:val="00490B8D"/>
    <w:rsid w:val="004922D2"/>
    <w:rsid w:val="004A11D8"/>
    <w:rsid w:val="004C1469"/>
    <w:rsid w:val="004E1C1D"/>
    <w:rsid w:val="004E3874"/>
    <w:rsid w:val="004E535E"/>
    <w:rsid w:val="004F06A1"/>
    <w:rsid w:val="00500B25"/>
    <w:rsid w:val="00510BF6"/>
    <w:rsid w:val="0053198F"/>
    <w:rsid w:val="005324BA"/>
    <w:rsid w:val="0053290D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0ECE"/>
    <w:rsid w:val="006C2F85"/>
    <w:rsid w:val="006C3CD4"/>
    <w:rsid w:val="006C5EA4"/>
    <w:rsid w:val="006C673E"/>
    <w:rsid w:val="006D08E0"/>
    <w:rsid w:val="006D15AB"/>
    <w:rsid w:val="006D6063"/>
    <w:rsid w:val="006F1620"/>
    <w:rsid w:val="006F1CEB"/>
    <w:rsid w:val="006F52F9"/>
    <w:rsid w:val="0072258A"/>
    <w:rsid w:val="00737C84"/>
    <w:rsid w:val="0076742C"/>
    <w:rsid w:val="007752B9"/>
    <w:rsid w:val="007760A8"/>
    <w:rsid w:val="00790202"/>
    <w:rsid w:val="00795D58"/>
    <w:rsid w:val="007A3CB1"/>
    <w:rsid w:val="007A4B6F"/>
    <w:rsid w:val="007B0A41"/>
    <w:rsid w:val="007B11E6"/>
    <w:rsid w:val="007B4BC2"/>
    <w:rsid w:val="007C0A0D"/>
    <w:rsid w:val="007C60FE"/>
    <w:rsid w:val="007E2261"/>
    <w:rsid w:val="007F2644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A2C5A"/>
    <w:rsid w:val="009B138F"/>
    <w:rsid w:val="009B2E35"/>
    <w:rsid w:val="009B6C12"/>
    <w:rsid w:val="009C0650"/>
    <w:rsid w:val="009E1482"/>
    <w:rsid w:val="00A02F0C"/>
    <w:rsid w:val="00A13E81"/>
    <w:rsid w:val="00A15699"/>
    <w:rsid w:val="00A16CD9"/>
    <w:rsid w:val="00A22BBD"/>
    <w:rsid w:val="00A3340C"/>
    <w:rsid w:val="00A4282B"/>
    <w:rsid w:val="00A46DA4"/>
    <w:rsid w:val="00A51B6C"/>
    <w:rsid w:val="00A534B9"/>
    <w:rsid w:val="00A814FD"/>
    <w:rsid w:val="00AA3A1F"/>
    <w:rsid w:val="00AC1368"/>
    <w:rsid w:val="00AD4691"/>
    <w:rsid w:val="00AE4C3F"/>
    <w:rsid w:val="00AE51EA"/>
    <w:rsid w:val="00AE7DF3"/>
    <w:rsid w:val="00AF3096"/>
    <w:rsid w:val="00AF38EA"/>
    <w:rsid w:val="00B200E3"/>
    <w:rsid w:val="00B226B6"/>
    <w:rsid w:val="00B264AD"/>
    <w:rsid w:val="00B47D94"/>
    <w:rsid w:val="00B50D53"/>
    <w:rsid w:val="00B63380"/>
    <w:rsid w:val="00B6516C"/>
    <w:rsid w:val="00B70727"/>
    <w:rsid w:val="00B73485"/>
    <w:rsid w:val="00B81287"/>
    <w:rsid w:val="00B86C5A"/>
    <w:rsid w:val="00B941E6"/>
    <w:rsid w:val="00B95DE1"/>
    <w:rsid w:val="00BC4201"/>
    <w:rsid w:val="00BD2789"/>
    <w:rsid w:val="00BD5417"/>
    <w:rsid w:val="00C0303A"/>
    <w:rsid w:val="00C050E9"/>
    <w:rsid w:val="00C1001A"/>
    <w:rsid w:val="00C10044"/>
    <w:rsid w:val="00C13EC7"/>
    <w:rsid w:val="00C220FE"/>
    <w:rsid w:val="00C2766E"/>
    <w:rsid w:val="00C30968"/>
    <w:rsid w:val="00C42AA6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2F97"/>
    <w:rsid w:val="00D23A2A"/>
    <w:rsid w:val="00D30F69"/>
    <w:rsid w:val="00D34ABB"/>
    <w:rsid w:val="00D54A23"/>
    <w:rsid w:val="00D55A30"/>
    <w:rsid w:val="00D56D60"/>
    <w:rsid w:val="00D70DE5"/>
    <w:rsid w:val="00D83DAA"/>
    <w:rsid w:val="00DA4CB2"/>
    <w:rsid w:val="00DB375D"/>
    <w:rsid w:val="00DE0868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6726F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55CED03"/>
  <w15:chartTrackingRefBased/>
  <w15:docId w15:val="{E221A1C6-9203-46B6-97E7-081574B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5C5A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paragraph" w:styleId="Betarp">
    <w:name w:val="No Spacing"/>
    <w:uiPriority w:val="1"/>
    <w:qFormat/>
    <w:rsid w:val="00345C5A"/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2487</Characters>
  <Application>Microsoft Office Word</Application>
  <DocSecurity>0</DocSecurity>
  <Lines>54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9</cp:revision>
  <dcterms:created xsi:type="dcterms:W3CDTF">2024-12-22T11:32:00Z</dcterms:created>
  <dcterms:modified xsi:type="dcterms:W3CDTF">2025-01-27T12:08:00Z</dcterms:modified>
</cp:coreProperties>
</file>