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7CE5" w14:textId="77777777" w:rsidR="007F3488" w:rsidRPr="00040C94" w:rsidRDefault="00B70727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1F2C5C" w:rsidRPr="00040C94">
        <w:rPr>
          <w:rFonts w:ascii="Helvetica" w:hAnsi="Helvetica" w:cs="Arial"/>
          <w:sz w:val="20"/>
          <w:szCs w:val="24"/>
          <w:lang w:val="lt-LT"/>
        </w:rPr>
        <w:t>Metodas, skirtas įvesti mutaciją, kuriai tarpininkauja g</w:t>
      </w:r>
      <w:r w:rsidR="00637E6B" w:rsidRPr="00040C94">
        <w:rPr>
          <w:rFonts w:ascii="Helvetica" w:hAnsi="Helvetica" w:cs="Arial"/>
          <w:sz w:val="20"/>
          <w:szCs w:val="24"/>
          <w:lang w:val="lt-LT"/>
        </w:rPr>
        <w:t>en</w:t>
      </w:r>
      <w:r w:rsidR="001F2C5C" w:rsidRPr="00040C94">
        <w:rPr>
          <w:rFonts w:ascii="Helvetica" w:hAnsi="Helvetica" w:cs="Arial"/>
          <w:sz w:val="20"/>
          <w:szCs w:val="24"/>
          <w:lang w:val="lt-LT"/>
        </w:rPr>
        <w:t>o</w:t>
      </w:r>
      <w:r w:rsidR="00637E6B" w:rsidRPr="00040C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F2C5C" w:rsidRPr="00040C94">
        <w:rPr>
          <w:rFonts w:ascii="Helvetica" w:hAnsi="Helvetica" w:cs="Arial"/>
          <w:sz w:val="20"/>
          <w:szCs w:val="24"/>
          <w:lang w:val="lt-LT"/>
        </w:rPr>
        <w:t>reparacijos</w:t>
      </w:r>
      <w:r w:rsidR="00637E6B" w:rsidRPr="00040C94">
        <w:rPr>
          <w:rFonts w:ascii="Helvetica" w:hAnsi="Helvetica" w:cs="Arial"/>
          <w:sz w:val="20"/>
          <w:szCs w:val="24"/>
          <w:lang w:val="lt-LT"/>
        </w:rPr>
        <w:t xml:space="preserve"> oligonukleobazė (GRON)</w:t>
      </w:r>
      <w:r w:rsidR="001F2C5C" w:rsidRPr="00040C94">
        <w:rPr>
          <w:rFonts w:ascii="Helvetica" w:hAnsi="Helvetica" w:cs="Arial"/>
          <w:sz w:val="20"/>
          <w:szCs w:val="24"/>
          <w:lang w:val="lt-LT"/>
        </w:rPr>
        <w:t>,</w:t>
      </w:r>
      <w:r w:rsidR="00637E6B" w:rsidRPr="00040C94">
        <w:rPr>
          <w:rFonts w:ascii="Helvetica" w:hAnsi="Helvetica" w:cs="Arial"/>
          <w:sz w:val="20"/>
          <w:szCs w:val="24"/>
          <w:lang w:val="lt-LT"/>
        </w:rPr>
        <w:t xml:space="preserve"> į tikslinę dezoksiribonukleorūgšties (DNR) seką augalo ląstelėje</w:t>
      </w:r>
      <w:r w:rsidR="007F3488" w:rsidRPr="00040C94">
        <w:rPr>
          <w:rFonts w:ascii="Helvetica" w:hAnsi="Helvetica" w:cs="Arial"/>
          <w:sz w:val="20"/>
          <w:szCs w:val="24"/>
          <w:lang w:val="lt-LT"/>
        </w:rPr>
        <w:t>,</w:t>
      </w:r>
      <w:r w:rsidR="00637E6B" w:rsidRPr="00040C94">
        <w:rPr>
          <w:rFonts w:ascii="Helvetica" w:hAnsi="Helvetica" w:cs="Arial"/>
          <w:sz w:val="20"/>
          <w:szCs w:val="24"/>
          <w:lang w:val="lt-LT"/>
        </w:rPr>
        <w:t xml:space="preserve"> metodas, apimantis: </w:t>
      </w:r>
    </w:p>
    <w:p w14:paraId="571A6643" w14:textId="63EA2D8E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GRON pristatym</w:t>
      </w:r>
      <w:r w:rsidR="007F3488" w:rsidRPr="00040C94">
        <w:rPr>
          <w:rFonts w:ascii="Helvetica" w:hAnsi="Helvetica" w:cs="Arial"/>
          <w:sz w:val="20"/>
          <w:szCs w:val="24"/>
          <w:lang w:val="lt-LT"/>
        </w:rPr>
        <w:t>ą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į augalo ląstelę; ir</w:t>
      </w:r>
    </w:p>
    <w:p w14:paraId="2AD1F04F" w14:textId="3DC4B4DD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vietos specifinės endonukleazės pristatym</w:t>
      </w:r>
      <w:r w:rsidR="007F3488" w:rsidRPr="00040C94">
        <w:rPr>
          <w:rFonts w:ascii="Helvetica" w:hAnsi="Helvetica" w:cs="Arial"/>
          <w:sz w:val="20"/>
          <w:szCs w:val="24"/>
          <w:lang w:val="lt-LT"/>
        </w:rPr>
        <w:t>ą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į augalo ląstelę, kur vietai specifinė endonukleazė yra pa</w:t>
      </w:r>
      <w:r w:rsidR="007F3488" w:rsidRPr="00040C94">
        <w:rPr>
          <w:rFonts w:ascii="Helvetica" w:hAnsi="Helvetica" w:cs="Arial"/>
          <w:sz w:val="20"/>
          <w:szCs w:val="24"/>
          <w:lang w:val="lt-LT"/>
        </w:rPr>
        <w:t>si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rinkta iš cinko pirštų nukleazių, transkripcijos aktyvatorių </w:t>
      </w:r>
      <w:r w:rsidR="007F3488" w:rsidRPr="00040C94">
        <w:rPr>
          <w:rFonts w:ascii="Helvetica" w:hAnsi="Helvetica" w:cs="Arial"/>
          <w:sz w:val="20"/>
          <w:szCs w:val="24"/>
          <w:lang w:val="lt-LT"/>
        </w:rPr>
        <w:t>tipo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efektorinių nukleazių (TALEN) ir </w:t>
      </w:r>
      <w:r w:rsidR="00611890" w:rsidRPr="00040C94">
        <w:rPr>
          <w:rFonts w:ascii="Helvetica" w:hAnsi="Helvetica" w:cs="Arial"/>
          <w:sz w:val="20"/>
          <w:szCs w:val="24"/>
          <w:lang w:val="lt-LT"/>
        </w:rPr>
        <w:t>taisyklingai pertrauktų trumpų susitelk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>usių</w:t>
      </w:r>
      <w:r w:rsidR="00611890" w:rsidRPr="00040C94">
        <w:rPr>
          <w:rFonts w:ascii="Helvetica" w:hAnsi="Helvetica" w:cs="Arial"/>
          <w:sz w:val="20"/>
          <w:szCs w:val="24"/>
          <w:lang w:val="lt-LT"/>
        </w:rPr>
        <w:t xml:space="preserve"> palindromini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>ų</w:t>
      </w:r>
      <w:r w:rsidR="00611890" w:rsidRPr="00040C94">
        <w:rPr>
          <w:rFonts w:ascii="Helvetica" w:hAnsi="Helvetica" w:cs="Arial"/>
          <w:sz w:val="20"/>
          <w:szCs w:val="24"/>
          <w:lang w:val="lt-LT"/>
        </w:rPr>
        <w:t xml:space="preserve"> pasikartojim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kompleksų (CRISPR kompleksų);</w:t>
      </w:r>
    </w:p>
    <w:p w14:paraId="52FCC39D" w14:textId="4F44211C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kur GRON apima vieną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40C94">
        <w:rPr>
          <w:rFonts w:ascii="Helvetica" w:hAnsi="Helvetica" w:cs="Arial"/>
          <w:sz w:val="20"/>
          <w:szCs w:val="24"/>
          <w:lang w:val="lt-LT"/>
        </w:rPr>
        <w:t>daugiau pakeitimų iš įprastų RNR ir DNR nukleotidų, pa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>si</w:t>
      </w:r>
      <w:r w:rsidRPr="00040C94">
        <w:rPr>
          <w:rFonts w:ascii="Helvetica" w:hAnsi="Helvetica" w:cs="Arial"/>
          <w:sz w:val="20"/>
          <w:szCs w:val="24"/>
          <w:lang w:val="lt-LT"/>
        </w:rPr>
        <w:t>rinktų iš vieno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daugiau 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5' arba 3' galo </w:t>
      </w:r>
      <w:r w:rsidRPr="00040C94">
        <w:rPr>
          <w:rFonts w:ascii="Helvetica" w:hAnsi="Helvetica" w:cs="Arial"/>
          <w:sz w:val="20"/>
          <w:szCs w:val="24"/>
          <w:lang w:val="lt-LT"/>
        </w:rPr>
        <w:t>nukleotidų</w:t>
      </w:r>
      <w:r w:rsidR="00A45FD0" w:rsidRPr="00040C94">
        <w:rPr>
          <w:rFonts w:ascii="Helvetica" w:hAnsi="Helvetica" w:cs="Arial"/>
          <w:sz w:val="20"/>
          <w:szCs w:val="24"/>
          <w:lang w:val="lt-LT"/>
        </w:rPr>
        <w:t xml:space="preserve"> 2'O-metilų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5' galo 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>kepurės</w:t>
      </w:r>
      <w:r w:rsidRPr="00040C94">
        <w:rPr>
          <w:rFonts w:ascii="Helvetica" w:hAnsi="Helvetica" w:cs="Arial"/>
          <w:sz w:val="20"/>
          <w:szCs w:val="24"/>
          <w:lang w:val="lt-LT"/>
        </w:rPr>
        <w:t>, vieno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daugiau fluorescencinių dažų, kovalentiškai 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prie jo </w:t>
      </w:r>
      <w:r w:rsidRPr="00040C94">
        <w:rPr>
          <w:rFonts w:ascii="Helvetica" w:hAnsi="Helvetica" w:cs="Arial"/>
          <w:sz w:val="20"/>
          <w:szCs w:val="24"/>
          <w:lang w:val="lt-LT"/>
        </w:rPr>
        <w:t>prijungtų, vien</w:t>
      </w:r>
      <w:r w:rsidR="00A45FD0" w:rsidRPr="00040C94">
        <w:rPr>
          <w:rFonts w:ascii="Helvetica" w:hAnsi="Helvetica" w:cs="Arial"/>
          <w:sz w:val="20"/>
          <w:szCs w:val="24"/>
          <w:lang w:val="lt-LT"/>
        </w:rPr>
        <w:t>os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40C94">
        <w:rPr>
          <w:rFonts w:ascii="Helvetica" w:hAnsi="Helvetica" w:cs="Arial"/>
          <w:sz w:val="20"/>
          <w:szCs w:val="24"/>
          <w:lang w:val="lt-LT"/>
        </w:rPr>
        <w:t>daugiau fosfotioato modifikacijų, atvirkštin</w:t>
      </w:r>
      <w:r w:rsidR="00A45FD0" w:rsidRPr="00040C94">
        <w:rPr>
          <w:rFonts w:ascii="Helvetica" w:hAnsi="Helvetica" w:cs="Arial"/>
          <w:sz w:val="20"/>
          <w:szCs w:val="24"/>
          <w:lang w:val="lt-LT"/>
        </w:rPr>
        <w:t>ės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baz</w:t>
      </w:r>
      <w:r w:rsidR="00A45FD0" w:rsidRPr="00040C94">
        <w:rPr>
          <w:rFonts w:ascii="Helvetica" w:hAnsi="Helvetica" w:cs="Arial"/>
          <w:sz w:val="20"/>
          <w:szCs w:val="24"/>
          <w:lang w:val="lt-LT"/>
        </w:rPr>
        <w:t>ės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jo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3' gale; ir</w:t>
      </w:r>
    </w:p>
    <w:p w14:paraId="45E951B9" w14:textId="6DFAF1EB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kur vietai specifinė endonukleazė sukelia vien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>grandės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arba dvigrandės 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grandinės </w:t>
      </w:r>
      <w:r w:rsidRPr="00040C94">
        <w:rPr>
          <w:rFonts w:ascii="Helvetica" w:hAnsi="Helvetica" w:cs="Arial"/>
          <w:sz w:val="20"/>
          <w:szCs w:val="24"/>
          <w:lang w:val="lt-LT"/>
        </w:rPr>
        <w:t>pertr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>ūkį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šalia vietos, kuri</w:t>
      </w:r>
      <w:r w:rsidR="00150F2B" w:rsidRPr="00040C94">
        <w:rPr>
          <w:rFonts w:ascii="Helvetica" w:hAnsi="Helvetica" w:cs="Arial"/>
          <w:sz w:val="20"/>
          <w:szCs w:val="24"/>
          <w:lang w:val="lt-LT"/>
        </w:rPr>
        <w:t xml:space="preserve"> yra tikslinė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50F2B" w:rsidRPr="00040C94">
        <w:rPr>
          <w:rFonts w:ascii="Helvetica" w:hAnsi="Helvetica" w:cs="Arial"/>
          <w:sz w:val="20"/>
          <w:szCs w:val="24"/>
          <w:lang w:val="lt-LT"/>
        </w:rPr>
        <w:t>GRON atliekamos konversijos atžvilgiu</w:t>
      </w:r>
      <w:r w:rsidRPr="00040C94">
        <w:rPr>
          <w:rFonts w:ascii="Helvetica" w:hAnsi="Helvetica" w:cs="Arial"/>
          <w:sz w:val="20"/>
          <w:szCs w:val="24"/>
          <w:lang w:val="lt-LT"/>
        </w:rPr>
        <w:t>.</w:t>
      </w:r>
    </w:p>
    <w:p w14:paraId="6154D98C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DA68ED" w14:textId="513109D7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2. Būdas pagal 1 punktą, kur GRON papildomai apima vieną arba daugiau iš šių charakteristikų:</w:t>
      </w:r>
    </w:p>
    <w:p w14:paraId="63F84AE0" w14:textId="4D2742D5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GRON yra ilgesnis nei 55 bazės, GRON pasirinktinai </w:t>
      </w:r>
      <w:r w:rsidR="00853B8D" w:rsidRPr="00040C94">
        <w:rPr>
          <w:rFonts w:ascii="Helvetica" w:hAnsi="Helvetica" w:cs="Arial"/>
          <w:sz w:val="20"/>
          <w:szCs w:val="24"/>
          <w:lang w:val="lt-LT"/>
        </w:rPr>
        <w:t>apima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dvi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40C94">
        <w:rPr>
          <w:rFonts w:ascii="Helvetica" w:hAnsi="Helvetica" w:cs="Arial"/>
          <w:sz w:val="20"/>
          <w:szCs w:val="24"/>
          <w:lang w:val="lt-LT"/>
        </w:rPr>
        <w:t>daugiau mutacijos vietų, skirtų įvesti į tikslinę DNR;</w:t>
      </w:r>
    </w:p>
    <w:p w14:paraId="475D5A1A" w14:textId="3DC202CC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GRON </w:t>
      </w:r>
      <w:r w:rsidR="00853B8D" w:rsidRPr="00040C94">
        <w:rPr>
          <w:rFonts w:ascii="Helvetica" w:hAnsi="Helvetica" w:cs="Arial"/>
          <w:sz w:val="20"/>
          <w:szCs w:val="24"/>
          <w:lang w:val="lt-LT"/>
        </w:rPr>
        <w:t xml:space="preserve">apima vieną 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040C94">
        <w:rPr>
          <w:rFonts w:ascii="Helvetica" w:hAnsi="Helvetica" w:cs="Arial"/>
          <w:sz w:val="20"/>
          <w:szCs w:val="24"/>
          <w:lang w:val="lt-LT"/>
        </w:rPr>
        <w:t>daugiau nukleotidų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 xml:space="preserve"> su pašalinta azotine baze</w:t>
      </w:r>
    </w:p>
    <w:p w14:paraId="63567268" w14:textId="02D1F361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GRON apima vieną arba daugiau 8'okso dA ir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040C94">
        <w:rPr>
          <w:rFonts w:ascii="Helvetica" w:hAnsi="Helvetica" w:cs="Arial"/>
          <w:sz w:val="20"/>
          <w:szCs w:val="24"/>
          <w:lang w:val="lt-LT"/>
        </w:rPr>
        <w:t>arba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>)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8' okso dG nukleotidų;</w:t>
      </w:r>
    </w:p>
    <w:p w14:paraId="066FED41" w14:textId="317D761B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GRON apima vieną arba daugiau 2'O-metilo RNR nukleotidų 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040C94">
        <w:rPr>
          <w:rFonts w:ascii="Helvetica" w:hAnsi="Helvetica" w:cs="Arial"/>
          <w:sz w:val="20"/>
          <w:szCs w:val="24"/>
          <w:lang w:val="lt-LT"/>
        </w:rPr>
        <w:t>5' gale;</w:t>
      </w:r>
    </w:p>
    <w:p w14:paraId="0EED988E" w14:textId="44B204B2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GRON apima mažiausiai du 2'-O-metil RNR nukleotidus 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040C94">
        <w:rPr>
          <w:rFonts w:ascii="Helvetica" w:hAnsi="Helvetica" w:cs="Arial"/>
          <w:sz w:val="20"/>
          <w:szCs w:val="24"/>
          <w:lang w:val="lt-LT"/>
        </w:rPr>
        <w:t>5' gale;</w:t>
      </w:r>
    </w:p>
    <w:p w14:paraId="4C022D11" w14:textId="44B9C3DC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GRON 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>apima interkaliuojantį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daž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>ą</w:t>
      </w:r>
      <w:r w:rsidRPr="00040C94">
        <w:rPr>
          <w:rFonts w:ascii="Helvetica" w:hAnsi="Helvetica" w:cs="Arial"/>
          <w:sz w:val="20"/>
          <w:szCs w:val="24"/>
          <w:lang w:val="lt-LT"/>
        </w:rPr>
        <w:t>;</w:t>
      </w:r>
    </w:p>
    <w:p w14:paraId="0A87C8D6" w14:textId="6F31A444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GRON apima </w:t>
      </w:r>
      <w:r w:rsidR="00940CB5" w:rsidRPr="00040C94">
        <w:rPr>
          <w:rFonts w:ascii="Helvetica" w:hAnsi="Helvetica" w:cs="Arial"/>
          <w:sz w:val="20"/>
          <w:szCs w:val="24"/>
          <w:lang w:val="lt-LT"/>
        </w:rPr>
        <w:t>karkaso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modifikaciją, pa</w:t>
      </w:r>
      <w:r w:rsidR="00940CB5" w:rsidRPr="00040C94">
        <w:rPr>
          <w:rFonts w:ascii="Helvetica" w:hAnsi="Helvetica" w:cs="Arial"/>
          <w:sz w:val="20"/>
          <w:szCs w:val="24"/>
          <w:lang w:val="lt-LT"/>
        </w:rPr>
        <w:t>si</w:t>
      </w:r>
      <w:r w:rsidRPr="00040C94">
        <w:rPr>
          <w:rFonts w:ascii="Helvetica" w:hAnsi="Helvetica" w:cs="Arial"/>
          <w:sz w:val="20"/>
          <w:szCs w:val="24"/>
          <w:lang w:val="lt-LT"/>
        </w:rPr>
        <w:t>rinktą iš grupės, susidedančios iš metilo fosfonato modifikacijos, užrakintos nukleorūgšties (LNA) modifikacijos, O-(2-metoksietilo) (MOE) modifikacijos, di</w:t>
      </w:r>
      <w:r w:rsidR="00940CB5" w:rsidRPr="00040C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40C94">
        <w:rPr>
          <w:rFonts w:ascii="Helvetica" w:hAnsi="Helvetica" w:cs="Arial"/>
          <w:sz w:val="20"/>
          <w:szCs w:val="24"/>
          <w:lang w:val="lt-LT"/>
        </w:rPr>
        <w:t>PS modifikacijos ir peptidinės nukleorūgšties (PNA) modifikacij</w:t>
      </w:r>
      <w:r w:rsidR="00940CB5" w:rsidRPr="00040C94">
        <w:rPr>
          <w:rFonts w:ascii="Helvetica" w:hAnsi="Helvetica" w:cs="Arial"/>
          <w:sz w:val="20"/>
          <w:szCs w:val="24"/>
          <w:lang w:val="lt-LT"/>
        </w:rPr>
        <w:t>os</w:t>
      </w:r>
      <w:r w:rsidRPr="00040C94">
        <w:rPr>
          <w:rFonts w:ascii="Helvetica" w:hAnsi="Helvetica" w:cs="Arial"/>
          <w:sz w:val="20"/>
          <w:szCs w:val="24"/>
          <w:lang w:val="lt-LT"/>
        </w:rPr>
        <w:t>;</w:t>
      </w:r>
    </w:p>
    <w:p w14:paraId="16305D30" w14:textId="05D0B263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GRON apima vieną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40C94">
        <w:rPr>
          <w:rFonts w:ascii="Helvetica" w:hAnsi="Helvetica" w:cs="Arial"/>
          <w:sz w:val="20"/>
          <w:szCs w:val="24"/>
          <w:lang w:val="lt-LT"/>
        </w:rPr>
        <w:t>daugiau kryžminių ryšių</w:t>
      </w:r>
      <w:r w:rsidR="00940CB5" w:rsidRPr="00040C94">
        <w:rPr>
          <w:rFonts w:ascii="Helvetica" w:hAnsi="Helvetica" w:cs="Arial"/>
          <w:sz w:val="20"/>
          <w:szCs w:val="24"/>
          <w:lang w:val="lt-LT"/>
        </w:rPr>
        <w:t xml:space="preserve"> grandinės viduje</w:t>
      </w:r>
      <w:r w:rsidRPr="00040C94">
        <w:rPr>
          <w:rFonts w:ascii="Helvetica" w:hAnsi="Helvetica" w:cs="Arial"/>
          <w:sz w:val="20"/>
          <w:szCs w:val="24"/>
          <w:lang w:val="lt-LT"/>
        </w:rPr>
        <w:t>;</w:t>
      </w:r>
    </w:p>
    <w:p w14:paraId="5873AAB1" w14:textId="1D0D0306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 xml:space="preserve">GRON </w:t>
      </w:r>
      <w:r w:rsidR="002D1309" w:rsidRPr="00040C94">
        <w:rPr>
          <w:rFonts w:ascii="Helvetica" w:hAnsi="Helvetica" w:cs="Arial"/>
          <w:sz w:val="20"/>
          <w:szCs w:val="24"/>
          <w:lang w:val="lt-LT"/>
        </w:rPr>
        <w:t xml:space="preserve">apima </w:t>
      </w:r>
      <w:r w:rsidRPr="00040C94">
        <w:rPr>
          <w:rFonts w:ascii="Helvetica" w:hAnsi="Helvetica" w:cs="Arial"/>
          <w:sz w:val="20"/>
          <w:szCs w:val="24"/>
          <w:lang w:val="lt-LT"/>
        </w:rPr>
        <w:t>vieną</w:t>
      </w:r>
      <w:r w:rsidR="00FF14E6" w:rsidRPr="00040C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040C94">
        <w:rPr>
          <w:rFonts w:ascii="Helvetica" w:hAnsi="Helvetica" w:cs="Arial"/>
          <w:sz w:val="20"/>
          <w:szCs w:val="24"/>
          <w:lang w:val="lt-LT"/>
        </w:rPr>
        <w:t>daugiau bazių, kurios padidina hibridizacijos energiją.</w:t>
      </w:r>
    </w:p>
    <w:p w14:paraId="565AC6A7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25AF874" w14:textId="1EAE9A0C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3. Būdas pagal 1 arba 2 punktą, kur būdas papildomai apima viso GRON arba jo dalies sintezę</w:t>
      </w:r>
      <w:r w:rsidR="00940CB5" w:rsidRPr="00040C94">
        <w:rPr>
          <w:rFonts w:ascii="Helvetica" w:hAnsi="Helvetica" w:cs="Arial"/>
          <w:sz w:val="20"/>
          <w:szCs w:val="24"/>
          <w:lang w:val="lt-LT"/>
        </w:rPr>
        <w:t>,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40CB5" w:rsidRPr="00040C94">
        <w:rPr>
          <w:rFonts w:ascii="Helvetica" w:hAnsi="Helvetica" w:cs="Arial"/>
          <w:sz w:val="20"/>
          <w:szCs w:val="24"/>
          <w:lang w:val="lt-LT"/>
        </w:rPr>
        <w:t>pa</w:t>
      </w:r>
      <w:r w:rsidRPr="00040C94">
        <w:rPr>
          <w:rFonts w:ascii="Helvetica" w:hAnsi="Helvetica" w:cs="Arial"/>
          <w:sz w:val="20"/>
          <w:szCs w:val="24"/>
          <w:lang w:val="lt-LT"/>
        </w:rPr>
        <w:t>naudojant nukleotidų multimerus.</w:t>
      </w:r>
    </w:p>
    <w:p w14:paraId="7B703552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C94758" w14:textId="76BBC8E4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4. Būdas pagal bet kurį iš 1-3 punktų, kur vietai specifinė endonukleazė yra</w:t>
      </w:r>
      <w:r w:rsidR="003F2871" w:rsidRPr="00040C94">
        <w:rPr>
          <w:rFonts w:ascii="Helvetica" w:hAnsi="Helvetica" w:cs="Arial"/>
          <w:sz w:val="20"/>
          <w:szCs w:val="24"/>
          <w:lang w:val="lt-LT"/>
        </w:rPr>
        <w:t xml:space="preserve"> taisyklingai pertrauktų trumpų susitelkusių palindrominių pasikartojimų kompleksas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(CRISPR kompleksas).</w:t>
      </w:r>
    </w:p>
    <w:p w14:paraId="3B49313E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E61A66" w14:textId="6071114C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5. Būdas pagal bet kurį iš 1-3 punktų, kur vietai specifinė endonukleazė yra transkripcijos aktyvatori</w:t>
      </w:r>
      <w:r w:rsidR="003F2871" w:rsidRPr="00040C94">
        <w:rPr>
          <w:rFonts w:ascii="Helvetica" w:hAnsi="Helvetica" w:cs="Arial"/>
          <w:sz w:val="20"/>
          <w:szCs w:val="24"/>
          <w:lang w:val="lt-LT"/>
        </w:rPr>
        <w:t>aus tipo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efektorinė nukleazė (TALEN).</w:t>
      </w:r>
    </w:p>
    <w:p w14:paraId="4CF4C527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F0448C" w14:textId="352AF6AE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6. Būdas pagal bet kurį iš 1-3 punktų, kur vietai specifinė endonukleazė yra cinko piršt</w:t>
      </w:r>
      <w:r w:rsidR="003F2871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nukleazė.</w:t>
      </w:r>
    </w:p>
    <w:p w14:paraId="1507E5A8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39D7A1" w14:textId="107D6B23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7. Būdas pagal bet kurį iš ankstesnių punktų, kur tikslinė dezoksiribonukleorūgšties (DNR) seka yra augalo ląstelės genome.</w:t>
      </w:r>
    </w:p>
    <w:p w14:paraId="7D1C3284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A1CED9" w14:textId="7D92C26C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8. Būdas pagal bet kurį iš ankstesnių punktų, kur augalo ląstelė yra rūšis, pa</w:t>
      </w:r>
      <w:r w:rsidR="008F4882" w:rsidRPr="00040C94">
        <w:rPr>
          <w:rFonts w:ascii="Helvetica" w:hAnsi="Helvetica" w:cs="Arial"/>
          <w:sz w:val="20"/>
          <w:szCs w:val="24"/>
          <w:lang w:val="lt-LT"/>
        </w:rPr>
        <w:t>si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rinkta iš grupės, susidedančios iš rapsų, saulėgrąžų, kukurūzų, tabako, cukrinių runkelių, medvilnės, kukurūzų, kviečių, miežių, ryžių, </w:t>
      </w:r>
      <w:r w:rsidR="008F4882" w:rsidRPr="00040C94">
        <w:rPr>
          <w:rFonts w:ascii="Helvetica" w:hAnsi="Helvetica" w:cs="Arial"/>
          <w:sz w:val="20"/>
          <w:szCs w:val="24"/>
          <w:lang w:val="lt-LT"/>
        </w:rPr>
        <w:t>liucernos</w:t>
      </w:r>
      <w:r w:rsidRPr="00040C94">
        <w:rPr>
          <w:rFonts w:ascii="Helvetica" w:hAnsi="Helvetica" w:cs="Arial"/>
          <w:sz w:val="20"/>
          <w:szCs w:val="24"/>
          <w:lang w:val="lt-LT"/>
        </w:rPr>
        <w:t>, miežių, sorgo, pomidorų, mang</w:t>
      </w:r>
      <w:r w:rsidR="008F4882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persik</w:t>
      </w:r>
      <w:r w:rsidR="008F4882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obuol</w:t>
      </w:r>
      <w:r w:rsidR="008F4882" w:rsidRPr="00040C94">
        <w:rPr>
          <w:rFonts w:ascii="Helvetica" w:hAnsi="Helvetica" w:cs="Arial"/>
          <w:sz w:val="20"/>
          <w:szCs w:val="24"/>
          <w:lang w:val="lt-LT"/>
        </w:rPr>
        <w:t>io</w:t>
      </w:r>
      <w:r w:rsidRPr="00040C94">
        <w:rPr>
          <w:rFonts w:ascii="Helvetica" w:hAnsi="Helvetica" w:cs="Arial"/>
          <w:sz w:val="20"/>
          <w:szCs w:val="24"/>
          <w:lang w:val="lt-LT"/>
        </w:rPr>
        <w:t>, kriaušė</w:t>
      </w:r>
      <w:r w:rsidR="008F4882" w:rsidRPr="00040C94">
        <w:rPr>
          <w:rFonts w:ascii="Helvetica" w:hAnsi="Helvetica" w:cs="Arial"/>
          <w:sz w:val="20"/>
          <w:szCs w:val="24"/>
          <w:lang w:val="lt-LT"/>
        </w:rPr>
        <w:t>s</w:t>
      </w:r>
      <w:r w:rsidRPr="00040C94">
        <w:rPr>
          <w:rFonts w:ascii="Helvetica" w:hAnsi="Helvetica" w:cs="Arial"/>
          <w:sz w:val="20"/>
          <w:szCs w:val="24"/>
          <w:lang w:val="lt-LT"/>
        </w:rPr>
        <w:t>, braškė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s</w:t>
      </w:r>
      <w:r w:rsidRPr="00040C94">
        <w:rPr>
          <w:rFonts w:ascii="Helvetica" w:hAnsi="Helvetica" w:cs="Arial"/>
          <w:sz w:val="20"/>
          <w:szCs w:val="24"/>
          <w:lang w:val="lt-LT"/>
        </w:rPr>
        <w:t>, banan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melion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bulvės, morkos, salotos, svogūn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sojos pupel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ių</w:t>
      </w:r>
      <w:r w:rsidRPr="00040C94">
        <w:rPr>
          <w:rFonts w:ascii="Helvetica" w:hAnsi="Helvetica" w:cs="Arial"/>
          <w:sz w:val="20"/>
          <w:szCs w:val="24"/>
          <w:lang w:val="lt-LT"/>
        </w:rPr>
        <w:t>, sojos spp, cukranendrės, žirni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avinžirni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lauko </w:t>
      </w:r>
      <w:r w:rsidRPr="00040C94">
        <w:rPr>
          <w:rFonts w:ascii="Helvetica" w:hAnsi="Helvetica" w:cs="Arial"/>
          <w:sz w:val="20"/>
          <w:szCs w:val="24"/>
          <w:lang w:val="lt-LT"/>
        </w:rPr>
        <w:lastRenderedPageBreak/>
        <w:t>žirni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pup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lęši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ropės, 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griežčio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97C86" w:rsidRPr="00040C94">
        <w:rPr>
          <w:rFonts w:ascii="Helvetica" w:hAnsi="Helvetica" w:cs="Arial"/>
          <w:sz w:val="20"/>
          <w:szCs w:val="24"/>
          <w:lang w:val="lt-LT"/>
        </w:rPr>
        <w:t>b</w:t>
      </w:r>
      <w:r w:rsidRPr="00040C94">
        <w:rPr>
          <w:rFonts w:ascii="Helvetica" w:hAnsi="Helvetica" w:cs="Arial"/>
          <w:sz w:val="20"/>
          <w:szCs w:val="24"/>
          <w:lang w:val="lt-LT"/>
        </w:rPr>
        <w:t>riuselio kopūst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lubin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žiedini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kopūst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lapini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kopūst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lauko pupel</w:t>
      </w:r>
      <w:r w:rsidR="0071502E" w:rsidRPr="00040C94">
        <w:rPr>
          <w:rFonts w:ascii="Helvetica" w:hAnsi="Helvetica" w:cs="Arial"/>
          <w:sz w:val="20"/>
          <w:szCs w:val="24"/>
          <w:lang w:val="lt-LT"/>
        </w:rPr>
        <w:t>ių</w:t>
      </w:r>
      <w:r w:rsidRPr="00040C94">
        <w:rPr>
          <w:rFonts w:ascii="Helvetica" w:hAnsi="Helvetica" w:cs="Arial"/>
          <w:sz w:val="20"/>
          <w:szCs w:val="24"/>
          <w:lang w:val="lt-LT"/>
        </w:rPr>
        <w:t>, tuopos, puši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e</w:t>
      </w:r>
      <w:r w:rsidRPr="00040C94">
        <w:rPr>
          <w:rFonts w:ascii="Helvetica" w:hAnsi="Helvetica" w:cs="Arial"/>
          <w:sz w:val="20"/>
          <w:szCs w:val="24"/>
          <w:lang w:val="lt-LT"/>
        </w:rPr>
        <w:t>s, eukalipt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vynuogės, citrusini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kvietrugi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liucern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os</w:t>
      </w:r>
      <w:r w:rsidRPr="00040C94">
        <w:rPr>
          <w:rFonts w:ascii="Helvetica" w:hAnsi="Helvetica" w:cs="Arial"/>
          <w:sz w:val="20"/>
          <w:szCs w:val="24"/>
          <w:lang w:val="lt-LT"/>
        </w:rPr>
        <w:t>, rugi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aviž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velėn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os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 ir pašarinės žolės, lin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97C86" w:rsidRPr="00040C94">
        <w:rPr>
          <w:rFonts w:ascii="Helvetica" w:hAnsi="Helvetica" w:cs="Arial"/>
          <w:sz w:val="20"/>
          <w:szCs w:val="24"/>
          <w:lang w:val="lt-LT"/>
        </w:rPr>
        <w:t xml:space="preserve">aliejinio </w:t>
      </w:r>
      <w:r w:rsidRPr="00040C94">
        <w:rPr>
          <w:rFonts w:ascii="Helvetica" w:hAnsi="Helvetica" w:cs="Arial"/>
          <w:sz w:val="20"/>
          <w:szCs w:val="24"/>
          <w:lang w:val="lt-LT"/>
        </w:rPr>
        <w:t>raps</w:t>
      </w:r>
      <w:r w:rsidR="00897C86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garstyči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agurk</w:t>
      </w:r>
      <w:r w:rsidR="00C84039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A7906" w:rsidRPr="00040C94">
        <w:rPr>
          <w:rFonts w:ascii="Helvetica" w:hAnsi="Helvetica" w:cs="Arial"/>
          <w:sz w:val="20"/>
          <w:szCs w:val="24"/>
          <w:lang w:val="lt-LT"/>
        </w:rPr>
        <w:t>vijoklinių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balzamininių</w:t>
      </w:r>
      <w:r w:rsidRPr="00040C94">
        <w:rPr>
          <w:rFonts w:ascii="Helvetica" w:hAnsi="Helvetica" w:cs="Arial"/>
          <w:sz w:val="20"/>
          <w:szCs w:val="24"/>
          <w:lang w:val="lt-LT"/>
        </w:rPr>
        <w:t>, pipir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baklažan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medetk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lotos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o</w:t>
      </w:r>
      <w:r w:rsidRPr="00040C94">
        <w:rPr>
          <w:rFonts w:ascii="Helvetica" w:hAnsi="Helvetica" w:cs="Arial"/>
          <w:sz w:val="20"/>
          <w:szCs w:val="24"/>
          <w:lang w:val="lt-LT"/>
        </w:rPr>
        <w:t>, kopūst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 xml:space="preserve">, ramunės, 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 xml:space="preserve">tikrųjų </w:t>
      </w:r>
      <w:r w:rsidRPr="00040C94">
        <w:rPr>
          <w:rFonts w:ascii="Helvetica" w:hAnsi="Helvetica" w:cs="Arial"/>
          <w:sz w:val="20"/>
          <w:szCs w:val="24"/>
          <w:lang w:val="lt-LT"/>
        </w:rPr>
        <w:t>gvazdik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tulp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ių</w:t>
      </w:r>
      <w:r w:rsidRPr="00040C94">
        <w:rPr>
          <w:rFonts w:ascii="Helvetica" w:hAnsi="Helvetica" w:cs="Arial"/>
          <w:sz w:val="20"/>
          <w:szCs w:val="24"/>
          <w:lang w:val="lt-LT"/>
        </w:rPr>
        <w:t>, vilkdalgi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ų</w:t>
      </w:r>
      <w:r w:rsidRPr="00040C94">
        <w:rPr>
          <w:rFonts w:ascii="Helvetica" w:hAnsi="Helvetica" w:cs="Arial"/>
          <w:sz w:val="20"/>
          <w:szCs w:val="24"/>
          <w:lang w:val="lt-LT"/>
        </w:rPr>
        <w:t>, lelijos ir riešut</w:t>
      </w:r>
      <w:r w:rsidR="00B826A7" w:rsidRPr="00040C94">
        <w:rPr>
          <w:rFonts w:ascii="Helvetica" w:hAnsi="Helvetica" w:cs="Arial"/>
          <w:sz w:val="20"/>
          <w:szCs w:val="24"/>
          <w:lang w:val="lt-LT"/>
        </w:rPr>
        <w:t>us auginančių augalų</w:t>
      </w:r>
      <w:r w:rsidRPr="00040C94">
        <w:rPr>
          <w:rFonts w:ascii="Helvetica" w:hAnsi="Helvetica" w:cs="Arial"/>
          <w:sz w:val="20"/>
          <w:szCs w:val="24"/>
          <w:lang w:val="lt-LT"/>
        </w:rPr>
        <w:t>.</w:t>
      </w:r>
    </w:p>
    <w:p w14:paraId="4C1512B8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DBBA19" w14:textId="3482D8EB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9. Būdas pagal bet kurį iš ankstesnių punktų, kur augalo ląstelė yra transgeninė.</w:t>
      </w:r>
    </w:p>
    <w:p w14:paraId="07BB2A3D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B7E610" w14:textId="1AC88444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10. Būdas pagal bet kurį iš ankstesnių punktų, kur tikslinė DNR seka yra endogeninis augalo ląstelės genas.</w:t>
      </w:r>
    </w:p>
    <w:p w14:paraId="74A7B320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6A4466" w14:textId="5D00A1AF" w:rsidR="00637E6B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11. Būdas pagal bet kurį iš ankstesnių punktų, papildomai apimantis augalo regeneravimą iš augalo ląstelės.</w:t>
      </w:r>
    </w:p>
    <w:p w14:paraId="63CBFE07" w14:textId="77777777" w:rsidR="00637E6B" w:rsidRPr="00040C94" w:rsidRDefault="00637E6B" w:rsidP="00040C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FDA91B" w14:textId="1986F6D4" w:rsidR="00A51B6C" w:rsidRPr="00040C94" w:rsidRDefault="00637E6B" w:rsidP="00040C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40C94">
        <w:rPr>
          <w:rFonts w:ascii="Helvetica" w:hAnsi="Helvetica" w:cs="Arial"/>
          <w:sz w:val="20"/>
          <w:szCs w:val="24"/>
          <w:lang w:val="lt-LT"/>
        </w:rPr>
        <w:t>12. Būdas pagal bet kurį iš ankstesnių punktų, kur augalo ląstelė yra protoplastas.</w:t>
      </w:r>
    </w:p>
    <w:sectPr w:rsidR="00A51B6C" w:rsidRPr="00040C94" w:rsidSect="00040C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B1ED" w14:textId="77777777" w:rsidR="002E088D" w:rsidRDefault="002E088D" w:rsidP="007B0A41">
      <w:pPr>
        <w:spacing w:after="0" w:line="240" w:lineRule="auto"/>
      </w:pPr>
      <w:r>
        <w:separator/>
      </w:r>
    </w:p>
  </w:endnote>
  <w:endnote w:type="continuationSeparator" w:id="0">
    <w:p w14:paraId="6C43B22C" w14:textId="77777777" w:rsidR="002E088D" w:rsidRDefault="002E088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8545" w14:textId="77777777" w:rsidR="002E088D" w:rsidRDefault="002E088D" w:rsidP="007B0A41">
      <w:pPr>
        <w:spacing w:after="0" w:line="240" w:lineRule="auto"/>
      </w:pPr>
      <w:r>
        <w:separator/>
      </w:r>
    </w:p>
  </w:footnote>
  <w:footnote w:type="continuationSeparator" w:id="0">
    <w:p w14:paraId="313B2954" w14:textId="77777777" w:rsidR="002E088D" w:rsidRDefault="002E088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40C94"/>
    <w:rsid w:val="00065F0D"/>
    <w:rsid w:val="00070D8A"/>
    <w:rsid w:val="00092D0B"/>
    <w:rsid w:val="000D0403"/>
    <w:rsid w:val="00120AC9"/>
    <w:rsid w:val="001308ED"/>
    <w:rsid w:val="00150F2B"/>
    <w:rsid w:val="001668DF"/>
    <w:rsid w:val="00192F10"/>
    <w:rsid w:val="001A3E8E"/>
    <w:rsid w:val="001C33D1"/>
    <w:rsid w:val="001F266E"/>
    <w:rsid w:val="001F2C5C"/>
    <w:rsid w:val="00223910"/>
    <w:rsid w:val="00231449"/>
    <w:rsid w:val="00234E11"/>
    <w:rsid w:val="00260D4E"/>
    <w:rsid w:val="002837FC"/>
    <w:rsid w:val="002B66D9"/>
    <w:rsid w:val="002D1309"/>
    <w:rsid w:val="002E088D"/>
    <w:rsid w:val="002E0F37"/>
    <w:rsid w:val="00316FB7"/>
    <w:rsid w:val="003700E9"/>
    <w:rsid w:val="003A0D71"/>
    <w:rsid w:val="003D4001"/>
    <w:rsid w:val="003E51FF"/>
    <w:rsid w:val="003F2871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A7906"/>
    <w:rsid w:val="005D37DF"/>
    <w:rsid w:val="00600FCD"/>
    <w:rsid w:val="006049CC"/>
    <w:rsid w:val="00611890"/>
    <w:rsid w:val="00617E21"/>
    <w:rsid w:val="006375BB"/>
    <w:rsid w:val="00637E6B"/>
    <w:rsid w:val="00675FB8"/>
    <w:rsid w:val="00683EAE"/>
    <w:rsid w:val="006A5176"/>
    <w:rsid w:val="006C3CD4"/>
    <w:rsid w:val="006C5EA4"/>
    <w:rsid w:val="006C673E"/>
    <w:rsid w:val="006D15AB"/>
    <w:rsid w:val="006F52F9"/>
    <w:rsid w:val="0071502E"/>
    <w:rsid w:val="007752B9"/>
    <w:rsid w:val="007760A8"/>
    <w:rsid w:val="00790202"/>
    <w:rsid w:val="00795D58"/>
    <w:rsid w:val="007A4B6F"/>
    <w:rsid w:val="007B0A41"/>
    <w:rsid w:val="007B593D"/>
    <w:rsid w:val="007C0A0D"/>
    <w:rsid w:val="007C60FE"/>
    <w:rsid w:val="007E2261"/>
    <w:rsid w:val="007E4679"/>
    <w:rsid w:val="007F3488"/>
    <w:rsid w:val="00806BE5"/>
    <w:rsid w:val="008309E7"/>
    <w:rsid w:val="008321FA"/>
    <w:rsid w:val="00837B1E"/>
    <w:rsid w:val="00853B8D"/>
    <w:rsid w:val="00864E7D"/>
    <w:rsid w:val="00886FF4"/>
    <w:rsid w:val="00897C86"/>
    <w:rsid w:val="008A7B6E"/>
    <w:rsid w:val="008B41AC"/>
    <w:rsid w:val="008C60D6"/>
    <w:rsid w:val="008E0E9E"/>
    <w:rsid w:val="008F4882"/>
    <w:rsid w:val="0090596D"/>
    <w:rsid w:val="00907FD8"/>
    <w:rsid w:val="00940CB5"/>
    <w:rsid w:val="00947ACD"/>
    <w:rsid w:val="0095496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45FD0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728D4"/>
    <w:rsid w:val="00B81287"/>
    <w:rsid w:val="00B826A7"/>
    <w:rsid w:val="00B86C5A"/>
    <w:rsid w:val="00BD2789"/>
    <w:rsid w:val="00BD5417"/>
    <w:rsid w:val="00C1001A"/>
    <w:rsid w:val="00C30968"/>
    <w:rsid w:val="00C72847"/>
    <w:rsid w:val="00C84039"/>
    <w:rsid w:val="00C86DA9"/>
    <w:rsid w:val="00C91715"/>
    <w:rsid w:val="00CE42D1"/>
    <w:rsid w:val="00CF70D6"/>
    <w:rsid w:val="00D15412"/>
    <w:rsid w:val="00D30F69"/>
    <w:rsid w:val="00D47D27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C2FCE"/>
    <w:rsid w:val="00FD3E6A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69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3338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2022-06-22T05:28:00Z</dcterms:created>
  <dcterms:modified xsi:type="dcterms:W3CDTF">2022-06-22T05:28:00Z</dcterms:modified>
</cp:coreProperties>
</file>