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219C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1.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gydant paciento atopinį dermatitą, kai turi būti skiriama bent viena įsotinimo dozė, ir bent viena paskesnė palaikomoji dozė turi būti skiriama po oda kaip fiksuota dozė, kur anti-IL-13 antikūnas yra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>, ir kur (a) įsotinimo dozė yra 250 mg, o palaikomoji dozė yra 125 mg, arba (b) įsotinimo dozė yra 500 mg, o palaikomoji dozė yra 250 mg.</w:t>
      </w:r>
    </w:p>
    <w:p w14:paraId="1D2DCAB5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9D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2.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1 punktą, kur įsotinimo dozė yra 250 mg, o palaikomoji dozė yra 125 mg. </w:t>
      </w:r>
    </w:p>
    <w:p w14:paraId="4E8D6EC3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9E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3.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1 punktą, kur įsotinimo dozė yra 500 mg, o palaikomoji dozė yra 250 mg. </w:t>
      </w:r>
    </w:p>
    <w:p w14:paraId="608821EA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9F" w14:textId="1C333E6C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4.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bet kurį vieną iš</w:t>
      </w:r>
      <w:r w:rsidR="00AE31AC" w:rsidRPr="00AE31A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1-3 punktų, kur palaikomoji dozė turi būti skiriama praėjus keturioms savaitėms po įsotinimo dozės, ir kur palaikomoji dozė turi būti skiriama gydymo </w:t>
      </w:r>
      <w:r w:rsidR="00913F7B" w:rsidRPr="00AE31AC">
        <w:rPr>
          <w:rFonts w:ascii="Helvetica" w:hAnsi="Helvetica" w:cs="Arial"/>
          <w:sz w:val="20"/>
          <w:szCs w:val="22"/>
          <w:lang w:val="lt-LT"/>
        </w:rPr>
        <w:t>laikotarpiu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 vieną kartą kas keturias savaites. </w:t>
      </w:r>
    </w:p>
    <w:p w14:paraId="06C07145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0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5.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bet kurį vieną iš 1-4 punktų, kur gydymo </w:t>
      </w:r>
      <w:r w:rsidR="00913F7B" w:rsidRPr="00AE31AC">
        <w:rPr>
          <w:rFonts w:ascii="Helvetica" w:hAnsi="Helvetica" w:cs="Arial"/>
          <w:sz w:val="20"/>
          <w:szCs w:val="22"/>
          <w:lang w:val="lt-LT"/>
        </w:rPr>
        <w:t>laikotarpis sudaro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 24 savait</w:t>
      </w:r>
      <w:r w:rsidR="00913F7B" w:rsidRPr="00AE31AC">
        <w:rPr>
          <w:rFonts w:ascii="Helvetica" w:hAnsi="Helvetica" w:cs="Arial"/>
          <w:sz w:val="20"/>
          <w:szCs w:val="22"/>
          <w:lang w:val="lt-LT"/>
        </w:rPr>
        <w:t>e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s arba ilgiau. </w:t>
      </w:r>
    </w:p>
    <w:p w14:paraId="0D0C2679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1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6.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bet kurį vieną iš 1-5 punktų, kur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sumažina paciento ligos sunkumą, ir kur ligos sunkumas turi būti įvertintas atsižvelgiant į atopinio dermatito ligos sunkumo rezultatų matą.</w:t>
      </w:r>
    </w:p>
    <w:p w14:paraId="1BC87101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2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7.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6 punktą, kur atopinio dermatito ligos sunkumo rezultatų matas yra egzemos sritis ir sunkumo indeksas (EASI), ir kur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sumažina EASI 50%, arba 75%, arba 90%, palyginus su EASI, nustatytiną prieš skiriant pirmąją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dozę; kai, nebūtinai, EASI rodiklis turi būti nustatytas praėjus 12 savaičių po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pirmosios dozės skyrimo, arba 20 savaičių po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pirmosios dozės skyrimo, arba 24 savaitėms po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pirmosios dozės skyrimo.</w:t>
      </w:r>
    </w:p>
    <w:p w14:paraId="74231D85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3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8.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6 punktą, kur atopinio dermatito ligos sunkumo rezultatų matas yra atopinio dermatito sunkumo įvertinimas (SCORAD), ir kur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sumažina SCORAD rodiklį 50 % arba 75 %, palyginus su SCORAD rodikliu, kuris nustatytinas prieš skiriant pirmąją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dozę; kai, nebūtinai, SCORAD rodiklis turi būti nustatytas praėjus 12 savaičių po pirmosios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dozės skyrimo.</w:t>
      </w:r>
    </w:p>
    <w:p w14:paraId="19742EE9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4" w14:textId="7978DCAF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9.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6 punktą, kur atopinio dermatito ligos sunkumo rezultatų matas yra tyrėjų globalus įvertinimas (IGA), ir kur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sumažina IGA iki nulio arba vieneto; kai, nebūtinai, IGA</w:t>
      </w:r>
      <w:r w:rsidR="00AE31AC" w:rsidRPr="00AE31A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turi būti nustatytas 12 savaičių po pirmosios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dozės skyrimo.</w:t>
      </w:r>
    </w:p>
    <w:p w14:paraId="216A6D27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5" w14:textId="05D2BBD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10.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6 punktą, kur atopinio dermatito ligos sunkumo rezultatų matas yra paciento pranešimas (PRO), kur PRO yra: (1) niežėjimo vizuali analoginė skalė (VAS), kai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sumažina niežėjimo VAS 40% - 55%, (2) miego praradimo VAS, kai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sumažina miego praradimo VAS 53% - 61%, arba (3) atopinio dermatito poveikio klausimyno </w:t>
      </w:r>
      <w:r w:rsidRPr="00AE31AC">
        <w:rPr>
          <w:rFonts w:ascii="Helvetica" w:hAnsi="Helvetica" w:cs="Arial"/>
          <w:sz w:val="20"/>
          <w:szCs w:val="22"/>
          <w:lang w:val="lt-LT"/>
        </w:rPr>
        <w:lastRenderedPageBreak/>
        <w:t xml:space="preserve">(ADIQ) balas, kai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sumažina ADIQ balą</w:t>
      </w:r>
      <w:r w:rsidR="00AE31AC" w:rsidRPr="00AE31A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54% - 65%; kai, nebūtinai, PRO turi būti nustatytas praėjus 12 savaičių po pirmosios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dozės skyrimo.</w:t>
      </w:r>
    </w:p>
    <w:p w14:paraId="5804AC24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6" w14:textId="3127F85F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11.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bet kurį vieną iš 1-10 punktų, kur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lebrikizumabas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turi būti skiriamas pacientui, naudojant poodinės injekcijos</w:t>
      </w:r>
      <w:r w:rsidR="00AE31AC" w:rsidRPr="00AE31AC">
        <w:rPr>
          <w:rFonts w:ascii="Helvetica" w:hAnsi="Helvetica" w:cs="Arial"/>
          <w:sz w:val="20"/>
          <w:szCs w:val="22"/>
          <w:lang w:val="lt-LT"/>
        </w:rPr>
        <w:t xml:space="preserve"> 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įtaisą, kur poodinės injekcijos įtaisas yra pasirinktas iš </w:t>
      </w:r>
      <w:proofErr w:type="spellStart"/>
      <w:r w:rsidR="00BA51AF" w:rsidRPr="00AE31AC">
        <w:rPr>
          <w:rFonts w:ascii="Helvetica" w:hAnsi="Helvetica" w:cs="Arial"/>
          <w:sz w:val="20"/>
          <w:szCs w:val="22"/>
          <w:lang w:val="lt-LT"/>
        </w:rPr>
        <w:t>iš</w:t>
      </w:r>
      <w:proofErr w:type="spellEnd"/>
      <w:r w:rsidR="00BA51AF" w:rsidRPr="00AE31AC">
        <w:rPr>
          <w:rFonts w:ascii="Helvetica" w:hAnsi="Helvetica" w:cs="Arial"/>
          <w:sz w:val="20"/>
          <w:szCs w:val="22"/>
          <w:lang w:val="lt-LT"/>
        </w:rPr>
        <w:t xml:space="preserve"> anksto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 užpildyto švirkšto, vienkartinio rašiklio tipo injekcijos įtaiso,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mikroadat</w:t>
      </w:r>
      <w:r w:rsidR="007A1EE9" w:rsidRPr="00AE31AC">
        <w:rPr>
          <w:rFonts w:ascii="Helvetica" w:hAnsi="Helvetica" w:cs="Arial"/>
          <w:sz w:val="20"/>
          <w:szCs w:val="22"/>
          <w:lang w:val="lt-LT"/>
        </w:rPr>
        <w:t>os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įrenginio,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mikrošvirkšto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įrenginio, injekcijos be adat</w:t>
      </w:r>
      <w:r w:rsidR="007A1EE9" w:rsidRPr="00AE31AC">
        <w:rPr>
          <w:rFonts w:ascii="Helvetica" w:hAnsi="Helvetica" w:cs="Arial"/>
          <w:sz w:val="20"/>
          <w:szCs w:val="22"/>
          <w:lang w:val="lt-LT"/>
        </w:rPr>
        <w:t>os</w:t>
      </w:r>
      <w:r w:rsidRPr="00AE31AC">
        <w:rPr>
          <w:rFonts w:ascii="Helvetica" w:hAnsi="Helvetica" w:cs="Arial"/>
          <w:sz w:val="20"/>
          <w:szCs w:val="22"/>
          <w:lang w:val="lt-LT"/>
        </w:rPr>
        <w:t xml:space="preserve"> įrenginio arba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autoinjektoriaus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įrenginio.</w:t>
      </w:r>
    </w:p>
    <w:p w14:paraId="0A048B87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7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12.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 skirtas naudoti pagal bet kurį vieną iš 1-11 punktų, kur pacientui skirtinas vienas arba daugiau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topinių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(vietinių) kortikosteroidų. </w:t>
      </w:r>
    </w:p>
    <w:p w14:paraId="5A7269D5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8" w14:textId="6B697143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13.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12 punktą, kur vienas arba daugiau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topinių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(vietinių) kortikosteroidų yra pasirinkti iš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triamcinolono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acetonido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, hidrokortizono arba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triamcinolono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acetonido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derinio su hidrokortizonu. </w:t>
      </w:r>
    </w:p>
    <w:p w14:paraId="73014BBA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9" w14:textId="77777777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/>
          <w:sz w:val="20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14.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bet kurį vieną iš 1-13 punktų, kur pacientas yra 12 metų amžius ir vyresnis, </w:t>
      </w:r>
      <w:r w:rsidRPr="00AE31AC">
        <w:rPr>
          <w:rFonts w:ascii="Helvetica" w:hAnsi="Helvetica"/>
          <w:sz w:val="20"/>
          <w:szCs w:val="21"/>
          <w:lang w:val="lt-LT"/>
        </w:rPr>
        <w:t>ir (arba) kur paciento</w:t>
      </w:r>
      <w:r w:rsidRPr="00AE31AC">
        <w:rPr>
          <w:rFonts w:ascii="Helvetica" w:hAnsi="Helvetica"/>
          <w:sz w:val="20"/>
          <w:lang w:val="lt-LT"/>
        </w:rPr>
        <w:t xml:space="preserve"> </w:t>
      </w:r>
      <w:r w:rsidRPr="00AE31AC">
        <w:rPr>
          <w:rFonts w:ascii="Helvetica" w:hAnsi="Helvetica"/>
          <w:sz w:val="20"/>
          <w:szCs w:val="22"/>
          <w:lang w:val="lt-LT"/>
        </w:rPr>
        <w:t>tinkama kontrolė vietiniais kortikosteroidais nebuvo pasiekta.</w:t>
      </w:r>
      <w:r w:rsidRPr="00AE31AC">
        <w:rPr>
          <w:rFonts w:ascii="Helvetica" w:hAnsi="Helvetica"/>
          <w:sz w:val="20"/>
          <w:lang w:val="lt-LT"/>
        </w:rPr>
        <w:t xml:space="preserve"> </w:t>
      </w:r>
    </w:p>
    <w:p w14:paraId="3E4431E7" w14:textId="77777777" w:rsidR="00AE31AC" w:rsidRPr="00AE31AC" w:rsidRDefault="00AE31AC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2"/>
          <w:lang w:val="lt-LT"/>
        </w:rPr>
      </w:pPr>
    </w:p>
    <w:p w14:paraId="392A21AA" w14:textId="5321DD8C" w:rsidR="004256D2" w:rsidRPr="00AE31AC" w:rsidRDefault="004256D2" w:rsidP="00AE31AC">
      <w:pPr>
        <w:suppressAutoHyphens w:val="0"/>
        <w:autoSpaceDE w:val="0"/>
        <w:spacing w:line="360" w:lineRule="auto"/>
        <w:ind w:firstLine="567"/>
        <w:jc w:val="both"/>
        <w:rPr>
          <w:rFonts w:ascii="Helvetica" w:hAnsi="Helvetica" w:cs="Arial"/>
          <w:sz w:val="20"/>
          <w:szCs w:val="28"/>
          <w:lang w:val="lt-LT"/>
        </w:rPr>
      </w:pPr>
      <w:r w:rsidRPr="00AE31AC">
        <w:rPr>
          <w:rFonts w:ascii="Helvetica" w:hAnsi="Helvetica" w:cs="Arial"/>
          <w:sz w:val="20"/>
          <w:szCs w:val="22"/>
          <w:lang w:val="lt-LT"/>
        </w:rPr>
        <w:t xml:space="preserve">15.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Monokloninis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anti-IL-13 antikūnas, skirtas naudoti pagal bet kurį vieną iš 1-14 punktų, kur atopinis dermatitas yra nuo vidutinio sunkumo iki sunkaus, kaip nustatoma pagal 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Rajka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>/</w:t>
      </w:r>
      <w:proofErr w:type="spellStart"/>
      <w:r w:rsidRPr="00AE31AC">
        <w:rPr>
          <w:rFonts w:ascii="Helvetica" w:hAnsi="Helvetica" w:cs="Arial"/>
          <w:sz w:val="20"/>
          <w:szCs w:val="22"/>
          <w:lang w:val="lt-LT"/>
        </w:rPr>
        <w:t>Langelando</w:t>
      </w:r>
      <w:proofErr w:type="spellEnd"/>
      <w:r w:rsidRPr="00AE31AC">
        <w:rPr>
          <w:rFonts w:ascii="Helvetica" w:hAnsi="Helvetica" w:cs="Arial"/>
          <w:sz w:val="20"/>
          <w:szCs w:val="22"/>
          <w:lang w:val="lt-LT"/>
        </w:rPr>
        <w:t xml:space="preserve"> kriterijus, ir kur </w:t>
      </w:r>
      <w:proofErr w:type="spellStart"/>
      <w:r w:rsidRPr="00AE31AC">
        <w:rPr>
          <w:rFonts w:ascii="Helvetica" w:hAnsi="Helvetica"/>
          <w:sz w:val="20"/>
          <w:szCs w:val="22"/>
          <w:lang w:val="lt-LT"/>
        </w:rPr>
        <w:t>Rajka</w:t>
      </w:r>
      <w:proofErr w:type="spellEnd"/>
      <w:r w:rsidRPr="00AE31AC">
        <w:rPr>
          <w:rFonts w:ascii="Helvetica" w:hAnsi="Helvetica"/>
          <w:sz w:val="20"/>
          <w:szCs w:val="22"/>
          <w:lang w:val="lt-LT"/>
        </w:rPr>
        <w:t>/</w:t>
      </w:r>
      <w:proofErr w:type="spellStart"/>
      <w:r w:rsidRPr="00AE31AC">
        <w:rPr>
          <w:rFonts w:ascii="Helvetica" w:hAnsi="Helvetica"/>
          <w:sz w:val="20"/>
          <w:szCs w:val="22"/>
          <w:lang w:val="lt-LT"/>
        </w:rPr>
        <w:t>Langelando</w:t>
      </w:r>
      <w:proofErr w:type="spellEnd"/>
      <w:r w:rsidRPr="00AE31AC">
        <w:rPr>
          <w:rFonts w:ascii="Helvetica" w:hAnsi="Helvetica"/>
          <w:sz w:val="20"/>
          <w:szCs w:val="22"/>
          <w:lang w:val="lt-LT"/>
        </w:rPr>
        <w:t xml:space="preserve"> kriterijų balas yra nustatytas tarp 4,5 ir 9.</w:t>
      </w:r>
      <w:r w:rsidR="00AE31AC" w:rsidRPr="00AE31AC">
        <w:rPr>
          <w:rFonts w:ascii="Helvetica" w:hAnsi="Helvetica"/>
          <w:sz w:val="20"/>
          <w:lang w:val="lt-LT"/>
        </w:rPr>
        <w:t xml:space="preserve"> </w:t>
      </w:r>
    </w:p>
    <w:sectPr w:rsidR="004256D2" w:rsidRPr="00AE31AC" w:rsidSect="00AE31AC">
      <w:pgSz w:w="11906" w:h="16838"/>
      <w:pgMar w:top="1134" w:right="567" w:bottom="567" w:left="1701" w:header="567" w:footer="283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A21B2" w14:textId="77777777" w:rsidR="004256D2" w:rsidRDefault="004256D2">
      <w:r>
        <w:separator/>
      </w:r>
    </w:p>
  </w:endnote>
  <w:endnote w:type="continuationSeparator" w:id="0">
    <w:p w14:paraId="392A21B3" w14:textId="77777777" w:rsidR="004256D2" w:rsidRDefault="0042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LT">
    <w:altName w:val="Times New Roman"/>
    <w:charset w:val="00"/>
    <w:family w:val="roman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21B0" w14:textId="77777777" w:rsidR="004256D2" w:rsidRDefault="004256D2">
      <w:r>
        <w:separator/>
      </w:r>
    </w:p>
  </w:footnote>
  <w:footnote w:type="continuationSeparator" w:id="0">
    <w:p w14:paraId="392A21B1" w14:textId="77777777" w:rsidR="004256D2" w:rsidRDefault="0042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925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3F7B"/>
    <w:rsid w:val="00006B8B"/>
    <w:rsid w:val="003C7545"/>
    <w:rsid w:val="004256D2"/>
    <w:rsid w:val="005D0BAF"/>
    <w:rsid w:val="00756C5D"/>
    <w:rsid w:val="007A1EE9"/>
    <w:rsid w:val="00913F7B"/>
    <w:rsid w:val="00AE31AC"/>
    <w:rsid w:val="00BA51AF"/>
    <w:rsid w:val="00C2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2A2199"/>
  <w15:docId w15:val="{3AC22861-B30D-4565-9D8C-38C2014D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2">
    <w:name w:val="heading 2"/>
    <w:basedOn w:val="Heading"/>
    <w:next w:val="Pagrindinistekstas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1z0">
    <w:name w:val="WW8Num1z0"/>
    <w:rPr>
      <w:rFonts w:ascii="TimesLT" w:eastAsia="Times New Roman" w:hAnsi="TimesLT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LT" w:eastAsia="Times New Roman" w:hAnsi="TimesLT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5z0">
    <w:name w:val="WW8Num15z0"/>
    <w:rPr>
      <w:rFonts w:ascii="TimesLT" w:eastAsia="Times New Roman" w:hAnsi="TimesLT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LT" w:eastAsia="Times New Roman" w:hAnsi="TimesLT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2z0">
    <w:name w:val="WW8Num22z0"/>
    <w:rPr>
      <w:rFonts w:ascii="TimesLT" w:eastAsia="Times New Roman" w:hAnsi="TimesLT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-DefaultParagraphFont111">
    <w:name w:val="WW-Default Paragraph Font111"/>
  </w:style>
  <w:style w:type="character" w:styleId="Puslapionumeris">
    <w:name w:val="page number"/>
    <w:basedOn w:val="WW-DefaultParagraphFont111"/>
  </w:style>
  <w:style w:type="character" w:styleId="Eilutsnumeris">
    <w:name w:val="line number"/>
    <w:basedOn w:val="WW-DefaultParagraphFont111"/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GB"/>
    </w:rPr>
  </w:style>
  <w:style w:type="character" w:customStyle="1" w:styleId="FooterChar">
    <w:name w:val="Footer Char"/>
    <w:rPr>
      <w:sz w:val="24"/>
      <w:szCs w:val="24"/>
      <w:lang w:val="en-GB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Mangal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rastasis"/>
    <w:pPr>
      <w:suppressLineNumbers/>
    </w:pPr>
    <w:rPr>
      <w:rFonts w:cs="Mangal"/>
    </w:rPr>
  </w:style>
  <w:style w:type="paragraph" w:styleId="Antrats">
    <w:name w:val="header"/>
    <w:basedOn w:val="prastasis"/>
  </w:style>
  <w:style w:type="paragraph" w:styleId="Debesliotekstas">
    <w:name w:val="Balloon Text"/>
    <w:basedOn w:val="prastasis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1296"/>
    </w:pPr>
  </w:style>
  <w:style w:type="paragraph" w:styleId="Porat">
    <w:name w:val="footer"/>
    <w:basedOn w:val="prastasis"/>
  </w:style>
  <w:style w:type="paragraph" w:customStyle="1" w:styleId="Framecontents">
    <w:name w:val="Frame contents"/>
    <w:basedOn w:val="Pagrindinisteks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3935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IŠRADIMO APIBRĖŽTIS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IŠRADIMO APIBRĖŽTIS</dc:title>
  <dc:creator>Liudmila</dc:creator>
  <cp:lastModifiedBy>Raimonda Kvietkauskaitė</cp:lastModifiedBy>
  <cp:revision>4</cp:revision>
  <cp:lastPrinted>2022-01-20T10:48:00Z</cp:lastPrinted>
  <dcterms:created xsi:type="dcterms:W3CDTF">2023-08-23T16:16:00Z</dcterms:created>
  <dcterms:modified xsi:type="dcterms:W3CDTF">2023-08-28T07:13:00Z</dcterms:modified>
</cp:coreProperties>
</file>