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19C" w14:textId="7777777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1.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gydant paciento atopinį dermatitą, kai turi būti skiriama bent viena įsotinimo dozė, ir bent viena paskesnė palaikomoji dozė turi būti skiriama po oda kaip fiksuota dozė, kur anti-IL-13 antikūnas yra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lebrikizumabas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>, ir kur (a) įsotinimo dozė yra 250 mg, o palaikomoji dozė yra 125 mg, arba (b) įsotinimo dozė yra 500 mg, o palaikomoji dozė yra 250 mg.</w:t>
      </w:r>
    </w:p>
    <w:p w14:paraId="1D2DCAB5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9D" w14:textId="7777777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2.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1 punktą, kur įsotinimo dozė yra 250 mg, o palaikomoji dozė yra 125 mg. </w:t>
      </w:r>
    </w:p>
    <w:p w14:paraId="4E8D6EC3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9E" w14:textId="7777777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3.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1 punktą, kur įsotinimo dozė yra 500 mg, o palaikomoji dozė yra 250 mg. </w:t>
      </w:r>
    </w:p>
    <w:p w14:paraId="608821EA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9F" w14:textId="1C333E6C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4.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bet kurį vieną iš</w:t>
      </w:r>
      <w:r w:rsidR="00AE31AC" w:rsidRPr="00AE31A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AE31AC">
        <w:rPr>
          <w:rFonts w:ascii="Helvetica" w:hAnsi="Helvetica" w:cs="Arial"/>
          <w:sz w:val="20"/>
          <w:szCs w:val="22"/>
          <w:lang w:val="lt-LT"/>
        </w:rPr>
        <w:t xml:space="preserve">1-3 punktų, kur palaikomoji dozė turi būti skiriama praėjus keturioms savaitėms po įsotinimo dozės, ir kur palaikomoji dozė turi būti skiriama gydymo </w:t>
      </w:r>
      <w:r w:rsidR="00913F7B" w:rsidRPr="00AE31AC">
        <w:rPr>
          <w:rFonts w:ascii="Helvetica" w:hAnsi="Helvetica" w:cs="Arial"/>
          <w:sz w:val="20"/>
          <w:szCs w:val="22"/>
          <w:lang w:val="lt-LT"/>
        </w:rPr>
        <w:t>laikotarpiu</w:t>
      </w:r>
      <w:r w:rsidRPr="00AE31AC">
        <w:rPr>
          <w:rFonts w:ascii="Helvetica" w:hAnsi="Helvetica" w:cs="Arial"/>
          <w:sz w:val="20"/>
          <w:szCs w:val="22"/>
          <w:lang w:val="lt-LT"/>
        </w:rPr>
        <w:t xml:space="preserve"> vieną kartą kas keturias savaites. </w:t>
      </w:r>
    </w:p>
    <w:p w14:paraId="06C07145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0" w14:textId="7777777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5.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bet kurį vieną iš 1-4 punktų, kur gydymo </w:t>
      </w:r>
      <w:r w:rsidR="00913F7B" w:rsidRPr="00AE31AC">
        <w:rPr>
          <w:rFonts w:ascii="Helvetica" w:hAnsi="Helvetica" w:cs="Arial"/>
          <w:sz w:val="20"/>
          <w:szCs w:val="22"/>
          <w:lang w:val="lt-LT"/>
        </w:rPr>
        <w:t>laikotarpis sudaro</w:t>
      </w:r>
      <w:r w:rsidRPr="00AE31AC">
        <w:rPr>
          <w:rFonts w:ascii="Helvetica" w:hAnsi="Helvetica" w:cs="Arial"/>
          <w:sz w:val="20"/>
          <w:szCs w:val="22"/>
          <w:lang w:val="lt-LT"/>
        </w:rPr>
        <w:t xml:space="preserve"> 24 savait</w:t>
      </w:r>
      <w:r w:rsidR="00913F7B" w:rsidRPr="00AE31AC">
        <w:rPr>
          <w:rFonts w:ascii="Helvetica" w:hAnsi="Helvetica" w:cs="Arial"/>
          <w:sz w:val="20"/>
          <w:szCs w:val="22"/>
          <w:lang w:val="lt-LT"/>
        </w:rPr>
        <w:t>e</w:t>
      </w:r>
      <w:r w:rsidRPr="00AE31AC">
        <w:rPr>
          <w:rFonts w:ascii="Helvetica" w:hAnsi="Helvetica" w:cs="Arial"/>
          <w:sz w:val="20"/>
          <w:szCs w:val="22"/>
          <w:lang w:val="lt-LT"/>
        </w:rPr>
        <w:t xml:space="preserve">s arba ilgiau. </w:t>
      </w:r>
    </w:p>
    <w:p w14:paraId="0D0C2679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1" w14:textId="7777777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6.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bet kurį vieną iš 1-5 punktų, kur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lebrikizumabas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sumažina paciento ligos sunkumą, ir kur ligos sunkumas turi būti įvertintas atsižvelgiant į atopinio dermatito ligos sunkumo rezultatų matą.</w:t>
      </w:r>
    </w:p>
    <w:p w14:paraId="1BC87101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2" w14:textId="7777777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7.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6 punktą, kur atopinio dermatito ligos sunkumo rezultatų matas yra egzemos sritis ir sunkumo indeksas (EASI), ir kur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lebrikizumabas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sumažina EASI 50%, arba 75%, arba 90%, palyginus su EASI, nustatytiną prieš skiriant pirmąją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dozę; kai, nebūtinai, EASI rodiklis turi būti nustatytas praėjus 12 savaičių po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pirmosios dozės skyrimo, arba 20 savaičių po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pirmosios dozės skyrimo, arba 24 savaitėms po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pirmosios dozės skyrimo.</w:t>
      </w:r>
    </w:p>
    <w:p w14:paraId="74231D85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3" w14:textId="7777777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8.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6 punktą, kur atopinio dermatito ligos sunkumo rezultatų matas yra atopinio dermatito sunkumo įvertinimas (SCORAD), ir kur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lebrikizumabas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sumažina SCORAD rodiklį 50 % arba 75 %, palyginus su SCORAD rodikliu, kuris nustatytinas prieš skiriant pirmąją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dozę; kai, nebūtinai, SCORAD rodiklis turi būti nustatytas praėjus 12 savaičių po pirmosios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dozės skyrimo.</w:t>
      </w:r>
    </w:p>
    <w:p w14:paraId="19742EE9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4" w14:textId="7978DCAF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9.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6 punktą, kur atopinio dermatito ligos sunkumo rezultatų matas yra tyrėjų globalus įvertinimas (IGA), ir kur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lebrikizumabas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sumažina IGA iki nulio arba vieneto; kai, nebūtinai, IGA</w:t>
      </w:r>
      <w:r w:rsidR="00AE31AC" w:rsidRPr="00AE31A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AE31AC">
        <w:rPr>
          <w:rFonts w:ascii="Helvetica" w:hAnsi="Helvetica" w:cs="Arial"/>
          <w:sz w:val="20"/>
          <w:szCs w:val="22"/>
          <w:lang w:val="lt-LT"/>
        </w:rPr>
        <w:t xml:space="preserve">turi būti nustatytas 12 savaičių po pirmosios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dozės skyrimo.</w:t>
      </w:r>
    </w:p>
    <w:p w14:paraId="216A6D27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5" w14:textId="05D2BBD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10.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6 punktą, kur atopinio dermatito ligos sunkumo rezultatų matas yra paciento pranešimas (PRO), kur PRO yra: (1) niežėjimo vizuali analoginė skalė (VAS), kai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lebrikizumabas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sumažina niežėjimo VAS 40% - 55%, (2) miego praradimo VAS, kai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lebrikizumabas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sumažina miego praradimo VAS 53% - 61%, arba (3) atopinio dermatito poveikio klausimyno </w:t>
      </w:r>
      <w:r w:rsidRPr="00AE31AC">
        <w:rPr>
          <w:rFonts w:ascii="Helvetica" w:hAnsi="Helvetica" w:cs="Arial"/>
          <w:sz w:val="20"/>
          <w:szCs w:val="22"/>
          <w:lang w:val="lt-LT"/>
        </w:rPr>
        <w:lastRenderedPageBreak/>
        <w:t xml:space="preserve">(ADIQ) balas, kai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lebrikizumabas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sumažina ADIQ balą</w:t>
      </w:r>
      <w:r w:rsidR="00AE31AC" w:rsidRPr="00AE31A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AE31AC">
        <w:rPr>
          <w:rFonts w:ascii="Helvetica" w:hAnsi="Helvetica" w:cs="Arial"/>
          <w:sz w:val="20"/>
          <w:szCs w:val="22"/>
          <w:lang w:val="lt-LT"/>
        </w:rPr>
        <w:t xml:space="preserve">54% - 65%; kai, nebūtinai, PRO turi būti nustatytas praėjus 12 savaičių po pirmosios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dozės skyrimo.</w:t>
      </w:r>
    </w:p>
    <w:p w14:paraId="5804AC24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6" w14:textId="3127F85F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11.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bet kurį vieną iš 1-10 punktų, kur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lebrikizumabas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turi būti skiriamas pacientui, naudojant poodinės injekcijos</w:t>
      </w:r>
      <w:r w:rsidR="00AE31AC" w:rsidRPr="00AE31A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AE31AC">
        <w:rPr>
          <w:rFonts w:ascii="Helvetica" w:hAnsi="Helvetica" w:cs="Arial"/>
          <w:sz w:val="20"/>
          <w:szCs w:val="22"/>
          <w:lang w:val="lt-LT"/>
        </w:rPr>
        <w:t xml:space="preserve">įtaisą, kur poodinės injekcijos įtaisas yra pasirinktas iš </w:t>
      </w:r>
      <w:proofErr w:type="spellStart"/>
      <w:r w:rsidR="00BA51AF" w:rsidRPr="00AE31AC">
        <w:rPr>
          <w:rFonts w:ascii="Helvetica" w:hAnsi="Helvetica" w:cs="Arial"/>
          <w:sz w:val="20"/>
          <w:szCs w:val="22"/>
          <w:lang w:val="lt-LT"/>
        </w:rPr>
        <w:t>iš</w:t>
      </w:r>
      <w:proofErr w:type="spellEnd"/>
      <w:r w:rsidR="00BA51AF" w:rsidRPr="00AE31AC">
        <w:rPr>
          <w:rFonts w:ascii="Helvetica" w:hAnsi="Helvetica" w:cs="Arial"/>
          <w:sz w:val="20"/>
          <w:szCs w:val="22"/>
          <w:lang w:val="lt-LT"/>
        </w:rPr>
        <w:t xml:space="preserve"> anksto</w:t>
      </w:r>
      <w:r w:rsidRPr="00AE31AC">
        <w:rPr>
          <w:rFonts w:ascii="Helvetica" w:hAnsi="Helvetica" w:cs="Arial"/>
          <w:sz w:val="20"/>
          <w:szCs w:val="22"/>
          <w:lang w:val="lt-LT"/>
        </w:rPr>
        <w:t xml:space="preserve"> užpildyto švirkšto, vienkartinio rašiklio tipo injekcijos įtaiso,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mikroadat</w:t>
      </w:r>
      <w:r w:rsidR="007A1EE9" w:rsidRPr="00AE31AC">
        <w:rPr>
          <w:rFonts w:ascii="Helvetica" w:hAnsi="Helvetica" w:cs="Arial"/>
          <w:sz w:val="20"/>
          <w:szCs w:val="22"/>
          <w:lang w:val="lt-LT"/>
        </w:rPr>
        <w:t>os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įrenginio,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mikrošvirkšto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įrenginio, injekcijos be adat</w:t>
      </w:r>
      <w:r w:rsidR="007A1EE9" w:rsidRPr="00AE31AC">
        <w:rPr>
          <w:rFonts w:ascii="Helvetica" w:hAnsi="Helvetica" w:cs="Arial"/>
          <w:sz w:val="20"/>
          <w:szCs w:val="22"/>
          <w:lang w:val="lt-LT"/>
        </w:rPr>
        <w:t>os</w:t>
      </w:r>
      <w:r w:rsidRPr="00AE31AC">
        <w:rPr>
          <w:rFonts w:ascii="Helvetica" w:hAnsi="Helvetica" w:cs="Arial"/>
          <w:sz w:val="20"/>
          <w:szCs w:val="22"/>
          <w:lang w:val="lt-LT"/>
        </w:rPr>
        <w:t xml:space="preserve"> įrenginio arba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autoinjektoriaus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įrenginio.</w:t>
      </w:r>
    </w:p>
    <w:p w14:paraId="0A048B87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7" w14:textId="7777777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12.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 skirtas naudoti pagal bet kurį vieną iš 1-11 punktų, kur pacientui skirtinas vienas arba daugiau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topinių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(vietinių) kortikosteroidų. </w:t>
      </w:r>
    </w:p>
    <w:p w14:paraId="5A7269D5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8" w14:textId="6B697143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13.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12 punktą, kur vienas arba daugiau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topinių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(vietinių) kortikosteroidų yra pasirinkti iš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triamcinolono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acetonido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, hidrokortizono arba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triamcinolono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acetonido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derinio su hidrokortizonu. </w:t>
      </w:r>
    </w:p>
    <w:p w14:paraId="73014BBA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9" w14:textId="77777777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14.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bet kurį vieną iš 1-13 punktų, kur pacientas yra 12 metų amžius ir vyresnis, </w:t>
      </w:r>
      <w:r w:rsidRPr="00AE31AC">
        <w:rPr>
          <w:rFonts w:ascii="Helvetica" w:hAnsi="Helvetica"/>
          <w:sz w:val="20"/>
          <w:szCs w:val="21"/>
          <w:lang w:val="lt-LT"/>
        </w:rPr>
        <w:t>ir (arba) kur paciento</w:t>
      </w:r>
      <w:r w:rsidRPr="00AE31AC">
        <w:rPr>
          <w:rFonts w:ascii="Helvetica" w:hAnsi="Helvetica"/>
          <w:sz w:val="20"/>
          <w:lang w:val="lt-LT"/>
        </w:rPr>
        <w:t xml:space="preserve"> </w:t>
      </w:r>
      <w:r w:rsidRPr="00AE31AC">
        <w:rPr>
          <w:rFonts w:ascii="Helvetica" w:hAnsi="Helvetica"/>
          <w:sz w:val="20"/>
          <w:szCs w:val="22"/>
          <w:lang w:val="lt-LT"/>
        </w:rPr>
        <w:t>tinkama kontrolė vietiniais kortikosteroidais nebuvo pasiekta.</w:t>
      </w:r>
      <w:r w:rsidRPr="00AE31AC">
        <w:rPr>
          <w:rFonts w:ascii="Helvetica" w:hAnsi="Helvetica"/>
          <w:sz w:val="20"/>
          <w:lang w:val="lt-LT"/>
        </w:rPr>
        <w:t xml:space="preserve"> </w:t>
      </w:r>
    </w:p>
    <w:p w14:paraId="3E4431E7" w14:textId="77777777" w:rsidR="00AE31AC" w:rsidRPr="00AE31AC" w:rsidRDefault="00AE31AC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92A21AA" w14:textId="5321DD8C" w:rsidR="004256D2" w:rsidRPr="00AE31AC" w:rsidRDefault="004256D2" w:rsidP="00AE31A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8"/>
          <w:lang w:val="lt-LT"/>
        </w:rPr>
      </w:pPr>
      <w:r w:rsidRPr="00AE31AC">
        <w:rPr>
          <w:rFonts w:ascii="Helvetica" w:hAnsi="Helvetica" w:cs="Arial"/>
          <w:sz w:val="20"/>
          <w:szCs w:val="22"/>
          <w:lang w:val="lt-LT"/>
        </w:rPr>
        <w:t xml:space="preserve">15.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Monokloninis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anti-IL-13 antikūnas, skirtas naudoti pagal bet kurį vieną iš 1-14 punktų, kur atopinis dermatitas yra nuo vidutinio sunkumo iki sunkaus, kaip nustatoma pagal 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Rajka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>/</w:t>
      </w:r>
      <w:proofErr w:type="spellStart"/>
      <w:r w:rsidRPr="00AE31AC">
        <w:rPr>
          <w:rFonts w:ascii="Helvetica" w:hAnsi="Helvetica" w:cs="Arial"/>
          <w:sz w:val="20"/>
          <w:szCs w:val="22"/>
          <w:lang w:val="lt-LT"/>
        </w:rPr>
        <w:t>Langelando</w:t>
      </w:r>
      <w:proofErr w:type="spellEnd"/>
      <w:r w:rsidRPr="00AE31AC">
        <w:rPr>
          <w:rFonts w:ascii="Helvetica" w:hAnsi="Helvetica" w:cs="Arial"/>
          <w:sz w:val="20"/>
          <w:szCs w:val="22"/>
          <w:lang w:val="lt-LT"/>
        </w:rPr>
        <w:t xml:space="preserve"> kriterijus, ir kur </w:t>
      </w:r>
      <w:proofErr w:type="spellStart"/>
      <w:r w:rsidRPr="00AE31AC">
        <w:rPr>
          <w:rFonts w:ascii="Helvetica" w:hAnsi="Helvetica"/>
          <w:sz w:val="20"/>
          <w:szCs w:val="22"/>
          <w:lang w:val="lt-LT"/>
        </w:rPr>
        <w:t>Rajka</w:t>
      </w:r>
      <w:proofErr w:type="spellEnd"/>
      <w:r w:rsidRPr="00AE31AC">
        <w:rPr>
          <w:rFonts w:ascii="Helvetica" w:hAnsi="Helvetica"/>
          <w:sz w:val="20"/>
          <w:szCs w:val="22"/>
          <w:lang w:val="lt-LT"/>
        </w:rPr>
        <w:t>/</w:t>
      </w:r>
      <w:proofErr w:type="spellStart"/>
      <w:r w:rsidRPr="00AE31AC">
        <w:rPr>
          <w:rFonts w:ascii="Helvetica" w:hAnsi="Helvetica"/>
          <w:sz w:val="20"/>
          <w:szCs w:val="22"/>
          <w:lang w:val="lt-LT"/>
        </w:rPr>
        <w:t>Langelando</w:t>
      </w:r>
      <w:proofErr w:type="spellEnd"/>
      <w:r w:rsidRPr="00AE31AC">
        <w:rPr>
          <w:rFonts w:ascii="Helvetica" w:hAnsi="Helvetica"/>
          <w:sz w:val="20"/>
          <w:szCs w:val="22"/>
          <w:lang w:val="lt-LT"/>
        </w:rPr>
        <w:t xml:space="preserve"> kriterijų balas yra nustatytas tarp 4,5 ir 9.</w:t>
      </w:r>
      <w:r w:rsidR="00AE31AC" w:rsidRPr="00AE31AC">
        <w:rPr>
          <w:rFonts w:ascii="Helvetica" w:hAnsi="Helvetica"/>
          <w:sz w:val="20"/>
          <w:lang w:val="lt-LT"/>
        </w:rPr>
        <w:t xml:space="preserve"> </w:t>
      </w:r>
    </w:p>
    <w:sectPr w:rsidR="004256D2" w:rsidRPr="00AE31AC" w:rsidSect="00AE31AC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21B2" w14:textId="77777777" w:rsidR="004256D2" w:rsidRDefault="004256D2">
      <w:r>
        <w:separator/>
      </w:r>
    </w:p>
  </w:endnote>
  <w:endnote w:type="continuationSeparator" w:id="0">
    <w:p w14:paraId="392A21B3" w14:textId="77777777" w:rsidR="004256D2" w:rsidRDefault="004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21B0" w14:textId="77777777" w:rsidR="004256D2" w:rsidRDefault="004256D2">
      <w:r>
        <w:separator/>
      </w:r>
    </w:p>
  </w:footnote>
  <w:footnote w:type="continuationSeparator" w:id="0">
    <w:p w14:paraId="392A21B1" w14:textId="77777777" w:rsidR="004256D2" w:rsidRDefault="0042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25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13F7B"/>
    <w:rsid w:val="00006B8B"/>
    <w:rsid w:val="003C7545"/>
    <w:rsid w:val="004256D2"/>
    <w:rsid w:val="005D0BAF"/>
    <w:rsid w:val="00756C5D"/>
    <w:rsid w:val="007A1EE9"/>
    <w:rsid w:val="00913F7B"/>
    <w:rsid w:val="00AE31AC"/>
    <w:rsid w:val="00BA51AF"/>
    <w:rsid w:val="00C2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2A2199"/>
  <w15:docId w15:val="{3AC22861-B30D-4565-9D8C-38C2014D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8Num1z0">
    <w:name w:val="WW8Num1z0"/>
    <w:rPr>
      <w:rFonts w:ascii="TimesLT" w:eastAsia="Times New Roman" w:hAnsi="TimesLT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LT" w:eastAsia="Times New Roman" w:hAnsi="TimesLT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5z0">
    <w:name w:val="WW8Num15z0"/>
    <w:rPr>
      <w:rFonts w:ascii="TimesLT" w:eastAsia="Times New Roman" w:hAnsi="TimesLT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LT" w:eastAsia="Times New Roman" w:hAnsi="TimesLT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2z0">
    <w:name w:val="WW8Num22z0"/>
    <w:rPr>
      <w:rFonts w:ascii="TimesLT" w:eastAsia="Times New Roman" w:hAnsi="TimesLT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-DefaultParagraphFont111">
    <w:name w:val="WW-Default Paragraph Font111"/>
  </w:style>
  <w:style w:type="character" w:styleId="Puslapionumeris">
    <w:name w:val="page number"/>
    <w:basedOn w:val="WW-DefaultParagraphFont111"/>
  </w:style>
  <w:style w:type="character" w:styleId="Eilutsnumeris">
    <w:name w:val="line number"/>
    <w:basedOn w:val="WW-DefaultParagraphFont111"/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FooterChar">
    <w:name w:val="Footer Char"/>
    <w:rPr>
      <w:sz w:val="24"/>
      <w:szCs w:val="24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pPr>
      <w:ind w:left="1296"/>
    </w:pPr>
  </w:style>
  <w:style w:type="paragraph" w:styleId="Porat">
    <w:name w:val="footer"/>
    <w:basedOn w:val="prastasis"/>
  </w:style>
  <w:style w:type="paragraph" w:customStyle="1" w:styleId="Framecontents">
    <w:name w:val="Frame contents"/>
    <w:basedOn w:val="Pagrindinisteks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3935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IŠRADIMO APIBRĖŽTIS</vt:lpstr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IŠRADIMO APIBRĖŽTIS</dc:title>
  <dc:creator>Liudmila</dc:creator>
  <cp:lastModifiedBy>Raimonda Kvietkauskaitė</cp:lastModifiedBy>
  <cp:revision>4</cp:revision>
  <cp:lastPrinted>2022-01-20T10:48:00Z</cp:lastPrinted>
  <dcterms:created xsi:type="dcterms:W3CDTF">2023-08-23T16:16:00Z</dcterms:created>
  <dcterms:modified xsi:type="dcterms:W3CDTF">2023-08-28T07:13:00Z</dcterms:modified>
</cp:coreProperties>
</file>