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6301EEEA" w:rsidR="004F0BF7" w:rsidRPr="00D22D19" w:rsidRDefault="00647969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1. </w:t>
      </w:r>
      <w:r w:rsidR="00A1099D" w:rsidRPr="00D22D19">
        <w:rPr>
          <w:rFonts w:ascii="Helvetica" w:eastAsia="Arial" w:hAnsi="Helvetica" w:cs="Helvetica"/>
          <w:sz w:val="20"/>
        </w:rPr>
        <w:t xml:space="preserve">Vaistų derinys, skirtas naudoti vėžiui arba </w:t>
      </w:r>
      <w:proofErr w:type="spellStart"/>
      <w:r w:rsidR="00A1099D" w:rsidRPr="00D22D19">
        <w:rPr>
          <w:rFonts w:ascii="Helvetica" w:eastAsia="Arial" w:hAnsi="Helvetica" w:cs="Helvetica"/>
          <w:sz w:val="20"/>
        </w:rPr>
        <w:t>neoplastinėms</w:t>
      </w:r>
      <w:proofErr w:type="spellEnd"/>
      <w:r w:rsidR="00A1099D" w:rsidRPr="00D22D19">
        <w:rPr>
          <w:rFonts w:ascii="Helvetica" w:eastAsia="Arial" w:hAnsi="Helvetica" w:cs="Helvetica"/>
          <w:sz w:val="20"/>
        </w:rPr>
        <w:t xml:space="preserve"> ligoms gydyti, apimantis </w:t>
      </w:r>
      <w:proofErr w:type="spellStart"/>
      <w:r w:rsidR="00A1099D" w:rsidRPr="00D22D19">
        <w:rPr>
          <w:rFonts w:ascii="Helvetica" w:eastAsia="Arial" w:hAnsi="Helvetica" w:cs="Helvetica"/>
          <w:sz w:val="20"/>
        </w:rPr>
        <w:t>terapiškai</w:t>
      </w:r>
      <w:proofErr w:type="spellEnd"/>
      <w:r w:rsidR="00A1099D" w:rsidRPr="00D22D19">
        <w:rPr>
          <w:rFonts w:ascii="Helvetica" w:eastAsia="Arial" w:hAnsi="Helvetica" w:cs="Helvetica"/>
          <w:sz w:val="20"/>
        </w:rPr>
        <w:t xml:space="preserve"> veiksmingą </w:t>
      </w:r>
      <w:r w:rsidR="00E47AE3" w:rsidRPr="00D22D19">
        <w:rPr>
          <w:rFonts w:ascii="Helvetica" w:eastAsia="Arial" w:hAnsi="Helvetica" w:cs="Helvetica"/>
          <w:sz w:val="20"/>
        </w:rPr>
        <w:t xml:space="preserve">kiekį </w:t>
      </w:r>
      <w:r w:rsidR="00A1099D" w:rsidRPr="00D22D19">
        <w:rPr>
          <w:rFonts w:ascii="Helvetica" w:eastAsia="Arial" w:hAnsi="Helvetica" w:cs="Helvetica"/>
          <w:sz w:val="20"/>
        </w:rPr>
        <w:t xml:space="preserve">mažiausiai vieno </w:t>
      </w:r>
      <w:proofErr w:type="spellStart"/>
      <w:r w:rsidR="00A1099D" w:rsidRPr="00D22D19">
        <w:rPr>
          <w:rFonts w:ascii="Helvetica" w:eastAsia="Arial" w:hAnsi="Helvetica" w:cs="Helvetica"/>
          <w:sz w:val="20"/>
        </w:rPr>
        <w:t>bromodomeno</w:t>
      </w:r>
      <w:proofErr w:type="spellEnd"/>
      <w:r w:rsidR="00A1099D" w:rsidRPr="00D22D19">
        <w:rPr>
          <w:rFonts w:ascii="Helvetica" w:eastAsia="Arial" w:hAnsi="Helvetica" w:cs="Helvetica"/>
          <w:sz w:val="20"/>
        </w:rPr>
        <w:t xml:space="preserve"> ir </w:t>
      </w:r>
      <w:r w:rsidR="00E47AE3" w:rsidRPr="00D22D19">
        <w:rPr>
          <w:rFonts w:ascii="Helvetica" w:eastAsia="Arial" w:hAnsi="Helvetica" w:cs="Helvetica"/>
          <w:sz w:val="20"/>
        </w:rPr>
        <w:t>papildomo galinio</w:t>
      </w:r>
      <w:r w:rsidR="00A1099D" w:rsidRPr="00D22D19">
        <w:rPr>
          <w:rFonts w:ascii="Helvetica" w:eastAsia="Arial" w:hAnsi="Helvetica" w:cs="Helvetica"/>
          <w:sz w:val="20"/>
        </w:rPr>
        <w:t xml:space="preserve"> baltymo (BET) inhibitoriaus ir </w:t>
      </w:r>
      <w:proofErr w:type="spellStart"/>
      <w:r w:rsidR="00A1099D" w:rsidRPr="00D22D19">
        <w:rPr>
          <w:rFonts w:ascii="Helvetica" w:eastAsia="Arial" w:hAnsi="Helvetica" w:cs="Helvetica"/>
          <w:sz w:val="20"/>
        </w:rPr>
        <w:t>terapiškai</w:t>
      </w:r>
      <w:proofErr w:type="spellEnd"/>
      <w:r w:rsidR="00A1099D" w:rsidRPr="00D22D19">
        <w:rPr>
          <w:rFonts w:ascii="Helvetica" w:eastAsia="Arial" w:hAnsi="Helvetica" w:cs="Helvetica"/>
          <w:sz w:val="20"/>
        </w:rPr>
        <w:t xml:space="preserve"> veiksmingą kiekį mažiausiai vieno chemoterapinio agento, kuris tiesiogiai neslopina BET</w:t>
      </w:r>
      <w:r w:rsidR="00E47AE3" w:rsidRPr="00D22D19">
        <w:rPr>
          <w:rFonts w:ascii="Helvetica" w:eastAsia="Arial" w:hAnsi="Helvetica" w:cs="Helvetica"/>
          <w:sz w:val="20"/>
        </w:rPr>
        <w:t>,</w:t>
      </w:r>
      <w:r w:rsidR="00A1099D" w:rsidRPr="00D22D19">
        <w:rPr>
          <w:rFonts w:ascii="Helvetica" w:eastAsia="Arial" w:hAnsi="Helvetica" w:cs="Helvetica"/>
          <w:sz w:val="20"/>
        </w:rPr>
        <w:t xml:space="preserve"> kur </w:t>
      </w:r>
      <w:r w:rsidR="00E47AE3" w:rsidRPr="00D22D19">
        <w:rPr>
          <w:rFonts w:ascii="Helvetica" w:eastAsia="Arial" w:hAnsi="Helvetica" w:cs="Helvetica"/>
          <w:sz w:val="20"/>
        </w:rPr>
        <w:t>mažiausiai</w:t>
      </w:r>
      <w:r w:rsidR="00A1099D" w:rsidRPr="00D22D19">
        <w:rPr>
          <w:rFonts w:ascii="Helvetica" w:eastAsia="Arial" w:hAnsi="Helvetica" w:cs="Helvetica"/>
          <w:sz w:val="20"/>
        </w:rPr>
        <w:t xml:space="preserve"> vienas </w:t>
      </w:r>
      <w:proofErr w:type="spellStart"/>
      <w:r w:rsidR="00A1099D" w:rsidRPr="00D22D19">
        <w:rPr>
          <w:rFonts w:ascii="Helvetica" w:eastAsia="Arial" w:hAnsi="Helvetica" w:cs="Helvetica"/>
          <w:sz w:val="20"/>
        </w:rPr>
        <w:t>bromodomeno</w:t>
      </w:r>
      <w:proofErr w:type="spellEnd"/>
      <w:r w:rsidR="00A1099D" w:rsidRPr="00D22D19">
        <w:rPr>
          <w:rFonts w:ascii="Helvetica" w:eastAsia="Arial" w:hAnsi="Helvetica" w:cs="Helvetica"/>
          <w:sz w:val="20"/>
        </w:rPr>
        <w:t xml:space="preserve"> ir </w:t>
      </w:r>
      <w:r w:rsidR="00E47AE3" w:rsidRPr="00D22D19">
        <w:rPr>
          <w:rFonts w:ascii="Helvetica" w:eastAsia="Arial" w:hAnsi="Helvetica" w:cs="Helvetica"/>
          <w:sz w:val="20"/>
        </w:rPr>
        <w:t xml:space="preserve">papildomo galinio </w:t>
      </w:r>
      <w:r w:rsidR="00A1099D" w:rsidRPr="00D22D19">
        <w:rPr>
          <w:rFonts w:ascii="Helvetica" w:eastAsia="Arial" w:hAnsi="Helvetica" w:cs="Helvetica"/>
          <w:sz w:val="20"/>
        </w:rPr>
        <w:t>baltymo (BET) inhibitorius yra 4-[2-(ciklopropilmetoksi)-5-metilsulfonilfenil]-2-meti</w:t>
      </w:r>
      <w:r w:rsidR="00E47AE3" w:rsidRPr="00D22D19">
        <w:rPr>
          <w:rFonts w:ascii="Helvetica" w:eastAsia="Arial" w:hAnsi="Helvetica" w:cs="Helvetica"/>
          <w:sz w:val="20"/>
        </w:rPr>
        <w:t>l-</w:t>
      </w:r>
      <w:r w:rsidR="00A1099D" w:rsidRPr="00D22D19">
        <w:rPr>
          <w:rFonts w:ascii="Helvetica" w:eastAsia="Arial" w:hAnsi="Helvetica" w:cs="Helvetica"/>
          <w:sz w:val="20"/>
        </w:rPr>
        <w:t xml:space="preserve">izochinolin-l-onas arba jo farmaciniu požiūriu priimtina druska, ir chemoterapinis agentas yra </w:t>
      </w:r>
      <w:proofErr w:type="spellStart"/>
      <w:r w:rsidR="00A1099D" w:rsidRPr="00D22D19">
        <w:rPr>
          <w:rFonts w:ascii="Helvetica" w:eastAsia="Arial" w:hAnsi="Helvetica" w:cs="Helvetica"/>
          <w:sz w:val="20"/>
        </w:rPr>
        <w:t>temozolomidas</w:t>
      </w:r>
      <w:proofErr w:type="spellEnd"/>
      <w:r w:rsidR="00A1099D" w:rsidRPr="00D22D19">
        <w:rPr>
          <w:rFonts w:ascii="Helvetica" w:eastAsia="Arial" w:hAnsi="Helvetica" w:cs="Helvetica"/>
          <w:sz w:val="20"/>
        </w:rPr>
        <w:t>.</w:t>
      </w:r>
    </w:p>
    <w:p w14:paraId="7B27BC35" w14:textId="7768CB93" w:rsidR="00A1099D" w:rsidRPr="00D22D19" w:rsidRDefault="00A1099D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0A56C110" w14:textId="1376E20E" w:rsidR="00A1099D" w:rsidRPr="00D22D19" w:rsidRDefault="00A1099D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>2.</w:t>
      </w:r>
      <w:r w:rsidRPr="00D22D19">
        <w:rPr>
          <w:rFonts w:ascii="Helvetica" w:hAnsi="Helvetica" w:cs="Helvetica"/>
          <w:sz w:val="20"/>
        </w:rPr>
        <w:t xml:space="preserve"> </w:t>
      </w:r>
      <w:r w:rsidRPr="00D22D19">
        <w:rPr>
          <w:rFonts w:ascii="Helvetica" w:eastAsia="Arial" w:hAnsi="Helvetica" w:cs="Helvetica"/>
          <w:sz w:val="20"/>
        </w:rPr>
        <w:t xml:space="preserve">Derinys, skirtas panaudoti pagal 1 punktą, kur BET inhibitoriaus ir chemoterapinio agento derinys suteikia sinergetinį paciento naviko ląstelių </w:t>
      </w:r>
      <w:proofErr w:type="spellStart"/>
      <w:r w:rsidRPr="00D22D19">
        <w:rPr>
          <w:rFonts w:ascii="Helvetica" w:eastAsia="Arial" w:hAnsi="Helvetica" w:cs="Helvetica"/>
          <w:sz w:val="20"/>
        </w:rPr>
        <w:t>proliferacijos</w:t>
      </w:r>
      <w:proofErr w:type="spellEnd"/>
      <w:r w:rsidRPr="00D22D19">
        <w:rPr>
          <w:rFonts w:ascii="Helvetica" w:eastAsia="Arial" w:hAnsi="Helvetica" w:cs="Helvetica"/>
          <w:sz w:val="20"/>
        </w:rPr>
        <w:t xml:space="preserve"> sumažėjimą arba </w:t>
      </w:r>
      <w:r w:rsidR="00D466AA" w:rsidRPr="00D22D19">
        <w:rPr>
          <w:rFonts w:ascii="Helvetica" w:eastAsia="Arial" w:hAnsi="Helvetica" w:cs="Helvetica"/>
          <w:sz w:val="20"/>
        </w:rPr>
        <w:t xml:space="preserve">sinergetinį </w:t>
      </w:r>
      <w:r w:rsidRPr="00D22D19">
        <w:rPr>
          <w:rFonts w:ascii="Helvetica" w:eastAsia="Arial" w:hAnsi="Helvetica" w:cs="Helvetica"/>
          <w:sz w:val="20"/>
        </w:rPr>
        <w:t xml:space="preserve">naviko </w:t>
      </w:r>
      <w:proofErr w:type="spellStart"/>
      <w:r w:rsidRPr="00D22D19">
        <w:rPr>
          <w:rFonts w:ascii="Helvetica" w:eastAsia="Arial" w:hAnsi="Helvetica" w:cs="Helvetica"/>
          <w:sz w:val="20"/>
        </w:rPr>
        <w:t>apoptozės</w:t>
      </w:r>
      <w:proofErr w:type="spellEnd"/>
      <w:r w:rsidRPr="00D22D19">
        <w:rPr>
          <w:rFonts w:ascii="Helvetica" w:eastAsia="Arial" w:hAnsi="Helvetica" w:cs="Helvetica"/>
          <w:sz w:val="20"/>
        </w:rPr>
        <w:t xml:space="preserve"> padidėjimą, lyginant su BET inhibitoriumi arba vien</w:t>
      </w:r>
      <w:r w:rsidR="00D466AA" w:rsidRPr="00D22D19">
        <w:rPr>
          <w:rFonts w:ascii="Helvetica" w:eastAsia="Arial" w:hAnsi="Helvetica" w:cs="Helvetica"/>
          <w:sz w:val="20"/>
        </w:rPr>
        <w:t>u</w:t>
      </w:r>
      <w:r w:rsidRPr="00D22D19">
        <w:rPr>
          <w:rFonts w:ascii="Helvetica" w:eastAsia="Arial" w:hAnsi="Helvetica" w:cs="Helvetica"/>
          <w:sz w:val="20"/>
        </w:rPr>
        <w:t xml:space="preserve"> chemoterapini</w:t>
      </w:r>
      <w:r w:rsidR="00D466AA" w:rsidRPr="00D22D19">
        <w:rPr>
          <w:rFonts w:ascii="Helvetica" w:eastAsia="Arial" w:hAnsi="Helvetica" w:cs="Helvetica"/>
          <w:sz w:val="20"/>
        </w:rPr>
        <w:t xml:space="preserve">u </w:t>
      </w:r>
      <w:r w:rsidRPr="00D22D19">
        <w:rPr>
          <w:rFonts w:ascii="Helvetica" w:eastAsia="Arial" w:hAnsi="Helvetica" w:cs="Helvetica"/>
          <w:sz w:val="20"/>
        </w:rPr>
        <w:t>preparat</w:t>
      </w:r>
      <w:r w:rsidR="00D466AA" w:rsidRPr="00D22D19">
        <w:rPr>
          <w:rFonts w:ascii="Helvetica" w:eastAsia="Arial" w:hAnsi="Helvetica" w:cs="Helvetica"/>
          <w:sz w:val="20"/>
        </w:rPr>
        <w:t>u</w:t>
      </w:r>
      <w:r w:rsidRPr="00D22D19">
        <w:rPr>
          <w:rFonts w:ascii="Helvetica" w:eastAsia="Arial" w:hAnsi="Helvetica" w:cs="Helvetica"/>
          <w:sz w:val="20"/>
        </w:rPr>
        <w:t>.</w:t>
      </w:r>
    </w:p>
    <w:p w14:paraId="2B46B048" w14:textId="51E59485" w:rsidR="00A1099D" w:rsidRPr="00D22D19" w:rsidRDefault="00A1099D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6F7F99E7" w14:textId="3F2C4455" w:rsidR="00A1099D" w:rsidRPr="00D22D19" w:rsidRDefault="00A1099D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3. Derinys, skirtas naudoti pagal 1 punktą, kur </w:t>
      </w:r>
      <w:proofErr w:type="spellStart"/>
      <w:r w:rsidRPr="00D22D19">
        <w:rPr>
          <w:rFonts w:ascii="Helvetica" w:eastAsia="Arial" w:hAnsi="Helvetica" w:cs="Helvetica"/>
          <w:sz w:val="20"/>
        </w:rPr>
        <w:t>terapiškai</w:t>
      </w:r>
      <w:proofErr w:type="spellEnd"/>
      <w:r w:rsidRPr="00D22D19">
        <w:rPr>
          <w:rFonts w:ascii="Helvetica" w:eastAsia="Arial" w:hAnsi="Helvetica" w:cs="Helvetica"/>
          <w:sz w:val="20"/>
        </w:rPr>
        <w:t xml:space="preserve"> </w:t>
      </w:r>
      <w:r w:rsidR="00D466AA" w:rsidRPr="00D22D19">
        <w:rPr>
          <w:rFonts w:ascii="Helvetica" w:eastAsia="Arial" w:hAnsi="Helvetica" w:cs="Helvetica"/>
          <w:sz w:val="20"/>
        </w:rPr>
        <w:t xml:space="preserve">veiksmingas </w:t>
      </w:r>
      <w:r w:rsidRPr="00D22D19">
        <w:rPr>
          <w:rFonts w:ascii="Helvetica" w:eastAsia="Arial" w:hAnsi="Helvetica" w:cs="Helvetica"/>
          <w:sz w:val="20"/>
        </w:rPr>
        <w:t xml:space="preserve">BET inhibitoriaus ir chemoterapinio agento derinio kiekis yra mažiausiai 50 % mažesnis nei kiekvieno </w:t>
      </w:r>
      <w:proofErr w:type="spellStart"/>
      <w:r w:rsidRPr="00D22D19">
        <w:rPr>
          <w:rFonts w:ascii="Helvetica" w:eastAsia="Arial" w:hAnsi="Helvetica" w:cs="Helvetica"/>
          <w:sz w:val="20"/>
        </w:rPr>
        <w:t>terapiškai</w:t>
      </w:r>
      <w:proofErr w:type="spellEnd"/>
      <w:r w:rsidRPr="00D22D19">
        <w:rPr>
          <w:rFonts w:ascii="Helvetica" w:eastAsia="Arial" w:hAnsi="Helvetica" w:cs="Helvetica"/>
          <w:sz w:val="20"/>
        </w:rPr>
        <w:t xml:space="preserve"> </w:t>
      </w:r>
      <w:r w:rsidR="00D466AA" w:rsidRPr="00D22D19">
        <w:rPr>
          <w:rFonts w:ascii="Helvetica" w:eastAsia="Arial" w:hAnsi="Helvetica" w:cs="Helvetica"/>
          <w:sz w:val="20"/>
        </w:rPr>
        <w:t xml:space="preserve">veiksmingas </w:t>
      </w:r>
      <w:r w:rsidRPr="00D22D19">
        <w:rPr>
          <w:rFonts w:ascii="Helvetica" w:eastAsia="Arial" w:hAnsi="Helvetica" w:cs="Helvetica"/>
          <w:sz w:val="20"/>
        </w:rPr>
        <w:t>kiekis, kai BET inhibitorius ir chemoterapinis agentas naudojami atskirai.</w:t>
      </w:r>
    </w:p>
    <w:p w14:paraId="031415CD" w14:textId="3494F93E" w:rsidR="00A1099D" w:rsidRPr="00D22D19" w:rsidRDefault="00A1099D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522A99F7" w14:textId="414A4202" w:rsidR="00A1099D" w:rsidRPr="00D22D19" w:rsidRDefault="00A1099D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4. </w:t>
      </w:r>
      <w:r w:rsidR="0032159A" w:rsidRPr="00D22D19">
        <w:rPr>
          <w:rFonts w:ascii="Helvetica" w:eastAsia="Arial" w:hAnsi="Helvetica" w:cs="Helvetica"/>
          <w:sz w:val="20"/>
        </w:rPr>
        <w:t xml:space="preserve">Derinys, skirtas naudoti pagal 1 punktą, kur vėžys arba </w:t>
      </w:r>
      <w:proofErr w:type="spellStart"/>
      <w:r w:rsidR="0032159A" w:rsidRPr="00D22D19">
        <w:rPr>
          <w:rFonts w:ascii="Helvetica" w:eastAsia="Arial" w:hAnsi="Helvetica" w:cs="Helvetica"/>
          <w:sz w:val="20"/>
        </w:rPr>
        <w:t>neoplastinė</w:t>
      </w:r>
      <w:proofErr w:type="spellEnd"/>
      <w:r w:rsidR="0032159A" w:rsidRPr="00D22D19">
        <w:rPr>
          <w:rFonts w:ascii="Helvetica" w:eastAsia="Arial" w:hAnsi="Helvetica" w:cs="Helvetica"/>
          <w:sz w:val="20"/>
        </w:rPr>
        <w:t xml:space="preserve"> liga yra parinkta iš grupės, susidedančios iš NUT vidurinės linijos karcinomos, </w:t>
      </w:r>
      <w:proofErr w:type="spellStart"/>
      <w:r w:rsidR="0032159A" w:rsidRPr="00D22D19">
        <w:rPr>
          <w:rFonts w:ascii="Helvetica" w:eastAsia="Arial" w:hAnsi="Helvetica" w:cs="Helvetica"/>
          <w:sz w:val="20"/>
        </w:rPr>
        <w:t>B</w:t>
      </w:r>
      <w:r w:rsidR="00D466AA" w:rsidRPr="00D22D19">
        <w:rPr>
          <w:rFonts w:ascii="Helvetica" w:eastAsia="Arial" w:hAnsi="Helvetica" w:cs="Helvetica"/>
          <w:sz w:val="20"/>
        </w:rPr>
        <w:t>erkito</w:t>
      </w:r>
      <w:proofErr w:type="spellEnd"/>
      <w:r w:rsidR="0032159A" w:rsidRPr="00D22D19">
        <w:rPr>
          <w:rFonts w:ascii="Helvetica" w:eastAsia="Arial" w:hAnsi="Helvetica" w:cs="Helvetica"/>
          <w:sz w:val="20"/>
        </w:rPr>
        <w:t xml:space="preserve"> limfomos, prostatos vėžio, krūties vėžio, šlapimo pūslės vėžio, plaučių vėžio, melanomos, </w:t>
      </w:r>
      <w:proofErr w:type="spellStart"/>
      <w:r w:rsidR="0032159A" w:rsidRPr="00D22D19">
        <w:rPr>
          <w:rFonts w:ascii="Helvetica" w:eastAsia="Arial" w:hAnsi="Helvetica" w:cs="Helvetica"/>
          <w:sz w:val="20"/>
        </w:rPr>
        <w:t>glioblastomos</w:t>
      </w:r>
      <w:proofErr w:type="spellEnd"/>
      <w:r w:rsidR="0032159A" w:rsidRPr="00D22D19">
        <w:rPr>
          <w:rFonts w:ascii="Helvetica" w:eastAsia="Arial" w:hAnsi="Helvetica" w:cs="Helvetica"/>
          <w:sz w:val="20"/>
        </w:rPr>
        <w:t xml:space="preserve"> ir </w:t>
      </w:r>
      <w:proofErr w:type="spellStart"/>
      <w:r w:rsidR="0032159A" w:rsidRPr="00D22D19">
        <w:rPr>
          <w:rFonts w:ascii="Helvetica" w:eastAsia="Arial" w:hAnsi="Helvetica" w:cs="Helvetica"/>
          <w:sz w:val="20"/>
        </w:rPr>
        <w:t>meduloblastomos</w:t>
      </w:r>
      <w:proofErr w:type="spellEnd"/>
      <w:r w:rsidR="0032159A" w:rsidRPr="00D22D19">
        <w:rPr>
          <w:rFonts w:ascii="Helvetica" w:eastAsia="Arial" w:hAnsi="Helvetica" w:cs="Helvetica"/>
          <w:sz w:val="20"/>
        </w:rPr>
        <w:t>.</w:t>
      </w:r>
    </w:p>
    <w:p w14:paraId="1B894CF8" w14:textId="7D5A7751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12A06B98" w14:textId="31637B50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5. Derinys, skirtas panaudoti pagal 1 punktą, kur vėžys arba </w:t>
      </w:r>
      <w:proofErr w:type="spellStart"/>
      <w:r w:rsidRPr="00D22D19">
        <w:rPr>
          <w:rFonts w:ascii="Helvetica" w:eastAsia="Arial" w:hAnsi="Helvetica" w:cs="Helvetica"/>
          <w:sz w:val="20"/>
        </w:rPr>
        <w:t>neoplastinė</w:t>
      </w:r>
      <w:proofErr w:type="spellEnd"/>
      <w:r w:rsidRPr="00D22D19">
        <w:rPr>
          <w:rFonts w:ascii="Helvetica" w:eastAsia="Arial" w:hAnsi="Helvetica" w:cs="Helvetica"/>
          <w:sz w:val="20"/>
        </w:rPr>
        <w:t xml:space="preserve"> liga yra </w:t>
      </w:r>
      <w:proofErr w:type="spellStart"/>
      <w:r w:rsidRPr="00D22D19">
        <w:rPr>
          <w:rFonts w:ascii="Helvetica" w:eastAsia="Arial" w:hAnsi="Helvetica" w:cs="Helvetica"/>
          <w:sz w:val="20"/>
        </w:rPr>
        <w:t>glioblastoma</w:t>
      </w:r>
      <w:proofErr w:type="spellEnd"/>
      <w:r w:rsidRPr="00D22D19">
        <w:rPr>
          <w:rFonts w:ascii="Helvetica" w:eastAsia="Arial" w:hAnsi="Helvetica" w:cs="Helvetica"/>
          <w:sz w:val="20"/>
        </w:rPr>
        <w:t>.</w:t>
      </w:r>
    </w:p>
    <w:p w14:paraId="507E7651" w14:textId="1E8DDB7E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432A30FD" w14:textId="15FDBBA9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6. Derinys, skirtas naudoti pagal 1 punktą, kur vėžys yra atsparus </w:t>
      </w:r>
      <w:proofErr w:type="spellStart"/>
      <w:r w:rsidRPr="00D22D19">
        <w:rPr>
          <w:rFonts w:ascii="Helvetica" w:eastAsia="Arial" w:hAnsi="Helvetica" w:cs="Helvetica"/>
          <w:sz w:val="20"/>
        </w:rPr>
        <w:t>temozolomidui</w:t>
      </w:r>
      <w:proofErr w:type="spellEnd"/>
      <w:r w:rsidRPr="00D22D19">
        <w:rPr>
          <w:rFonts w:ascii="Helvetica" w:eastAsia="Arial" w:hAnsi="Helvetica" w:cs="Helvetica"/>
          <w:sz w:val="20"/>
        </w:rPr>
        <w:t>.</w:t>
      </w:r>
    </w:p>
    <w:p w14:paraId="42150A2D" w14:textId="3C343AA3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3ABA5456" w14:textId="2A90AEAF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7. Derinys, skirtas naudoti pagal 1 punktą, kur </w:t>
      </w:r>
      <w:r w:rsidR="00351F7B" w:rsidRPr="00D22D19">
        <w:rPr>
          <w:rFonts w:ascii="Helvetica" w:eastAsia="Arial" w:hAnsi="Helvetica" w:cs="Helvetica"/>
          <w:sz w:val="20"/>
        </w:rPr>
        <w:t xml:space="preserve">mažiausiai </w:t>
      </w:r>
      <w:r w:rsidRPr="00D22D19">
        <w:rPr>
          <w:rFonts w:ascii="Helvetica" w:eastAsia="Arial" w:hAnsi="Helvetica" w:cs="Helvetica"/>
          <w:sz w:val="20"/>
        </w:rPr>
        <w:t xml:space="preserve">vienas BET inhibitorius yra paruoštas </w:t>
      </w:r>
      <w:r w:rsidR="00351F7B" w:rsidRPr="00D22D19">
        <w:rPr>
          <w:rFonts w:ascii="Helvetica" w:eastAsia="Arial" w:hAnsi="Helvetica" w:cs="Helvetica"/>
          <w:sz w:val="20"/>
        </w:rPr>
        <w:t>įvedimui</w:t>
      </w:r>
      <w:r w:rsidRPr="00D22D19">
        <w:rPr>
          <w:rFonts w:ascii="Helvetica" w:eastAsia="Arial" w:hAnsi="Helvetica" w:cs="Helvetica"/>
          <w:sz w:val="20"/>
        </w:rPr>
        <w:t xml:space="preserve"> </w:t>
      </w:r>
      <w:r w:rsidR="00CE6F61" w:rsidRPr="00D22D19">
        <w:rPr>
          <w:rFonts w:ascii="Helvetica" w:eastAsia="Arial" w:hAnsi="Helvetica" w:cs="Helvetica"/>
          <w:sz w:val="20"/>
        </w:rPr>
        <w:t>per burną</w:t>
      </w:r>
      <w:r w:rsidRPr="00D22D19">
        <w:rPr>
          <w:rFonts w:ascii="Helvetica" w:eastAsia="Arial" w:hAnsi="Helvetica" w:cs="Helvetica"/>
          <w:sz w:val="20"/>
        </w:rPr>
        <w:t>.</w:t>
      </w:r>
    </w:p>
    <w:p w14:paraId="4162090A" w14:textId="6901AE81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00907DF5" w14:textId="419F9AC4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8. Derinys, skirtas naudoti pagal 1 punktą, kur </w:t>
      </w:r>
      <w:r w:rsidR="00351F7B" w:rsidRPr="00D22D19">
        <w:rPr>
          <w:rFonts w:ascii="Helvetica" w:eastAsia="Arial" w:hAnsi="Helvetica" w:cs="Helvetica"/>
          <w:sz w:val="20"/>
        </w:rPr>
        <w:t xml:space="preserve">mažiausiai </w:t>
      </w:r>
      <w:r w:rsidRPr="00D22D19">
        <w:rPr>
          <w:rFonts w:ascii="Helvetica" w:eastAsia="Arial" w:hAnsi="Helvetica" w:cs="Helvetica"/>
          <w:sz w:val="20"/>
        </w:rPr>
        <w:t xml:space="preserve">vienas BET inhibitorius ir chemoterapinis agentas yra </w:t>
      </w:r>
      <w:r w:rsidR="00351F7B" w:rsidRPr="00D22D19">
        <w:rPr>
          <w:rFonts w:ascii="Helvetica" w:eastAsia="Arial" w:hAnsi="Helvetica" w:cs="Helvetica"/>
          <w:sz w:val="20"/>
        </w:rPr>
        <w:t>įvedami</w:t>
      </w:r>
      <w:r w:rsidRPr="00D22D19">
        <w:rPr>
          <w:rFonts w:ascii="Helvetica" w:eastAsia="Arial" w:hAnsi="Helvetica" w:cs="Helvetica"/>
          <w:sz w:val="20"/>
        </w:rPr>
        <w:t xml:space="preserve"> vienu metu.</w:t>
      </w:r>
    </w:p>
    <w:p w14:paraId="471AC862" w14:textId="69863BC7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5DB03BE0" w14:textId="678CA858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 xml:space="preserve">9. Derinys, skirtas naudoti pagal 1 punktą, kur </w:t>
      </w:r>
      <w:r w:rsidR="00351F7B" w:rsidRPr="00D22D19">
        <w:rPr>
          <w:rFonts w:ascii="Helvetica" w:eastAsia="Arial" w:hAnsi="Helvetica" w:cs="Helvetica"/>
          <w:sz w:val="20"/>
        </w:rPr>
        <w:t xml:space="preserve">mažiausiai </w:t>
      </w:r>
      <w:r w:rsidRPr="00D22D19">
        <w:rPr>
          <w:rFonts w:ascii="Helvetica" w:eastAsia="Arial" w:hAnsi="Helvetica" w:cs="Helvetica"/>
          <w:sz w:val="20"/>
        </w:rPr>
        <w:t xml:space="preserve">vienas BET inhibitorius ir chemoterapinis agentas yra </w:t>
      </w:r>
      <w:r w:rsidR="00351F7B" w:rsidRPr="00D22D19">
        <w:rPr>
          <w:rFonts w:ascii="Helvetica" w:eastAsia="Arial" w:hAnsi="Helvetica" w:cs="Helvetica"/>
          <w:sz w:val="20"/>
        </w:rPr>
        <w:t>įvedami</w:t>
      </w:r>
      <w:r w:rsidRPr="00D22D19">
        <w:rPr>
          <w:rFonts w:ascii="Helvetica" w:eastAsia="Arial" w:hAnsi="Helvetica" w:cs="Helvetica"/>
          <w:sz w:val="20"/>
        </w:rPr>
        <w:t xml:space="preserve"> nuosekliai.</w:t>
      </w:r>
    </w:p>
    <w:p w14:paraId="025D345A" w14:textId="4CAE203C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4F1778D6" w14:textId="2E726DAB" w:rsidR="0032159A" w:rsidRPr="00D22D19" w:rsidRDefault="0032159A" w:rsidP="00D22D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D22D19">
        <w:rPr>
          <w:rFonts w:ascii="Helvetica" w:eastAsia="Arial" w:hAnsi="Helvetica" w:cs="Helvetica"/>
          <w:sz w:val="20"/>
        </w:rPr>
        <w:t>10. Derinys, skirtas naudoti pagal 1 punktą, kur BET inhibitoriaus kiekis yra toks, kad sustiprintų chemoterapinio agento terapinį poveikį.</w:t>
      </w:r>
    </w:p>
    <w:sectPr w:rsidR="0032159A" w:rsidRPr="00D22D19" w:rsidSect="00D22D19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50B4" w14:textId="77777777" w:rsidR="00F8421F" w:rsidRDefault="00F8421F">
      <w:pPr>
        <w:spacing w:after="0" w:line="240" w:lineRule="auto"/>
      </w:pPr>
      <w:r>
        <w:separator/>
      </w:r>
    </w:p>
  </w:endnote>
  <w:endnote w:type="continuationSeparator" w:id="0">
    <w:p w14:paraId="75454373" w14:textId="77777777" w:rsidR="00F8421F" w:rsidRDefault="00F8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EFE6" w14:textId="77777777" w:rsidR="00F8421F" w:rsidRDefault="00F8421F">
      <w:pPr>
        <w:spacing w:after="0" w:line="240" w:lineRule="auto"/>
      </w:pPr>
      <w:r>
        <w:separator/>
      </w:r>
    </w:p>
  </w:footnote>
  <w:footnote w:type="continuationSeparator" w:id="0">
    <w:p w14:paraId="56CACF67" w14:textId="77777777" w:rsidR="00F8421F" w:rsidRDefault="00F84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211673">
    <w:abstractNumId w:val="4"/>
  </w:num>
  <w:num w:numId="2" w16cid:durableId="1943877470">
    <w:abstractNumId w:val="8"/>
  </w:num>
  <w:num w:numId="3" w16cid:durableId="1249727689">
    <w:abstractNumId w:val="5"/>
  </w:num>
  <w:num w:numId="4" w16cid:durableId="448011387">
    <w:abstractNumId w:val="2"/>
  </w:num>
  <w:num w:numId="5" w16cid:durableId="1378820607">
    <w:abstractNumId w:val="7"/>
  </w:num>
  <w:num w:numId="6" w16cid:durableId="186676985">
    <w:abstractNumId w:val="9"/>
  </w:num>
  <w:num w:numId="7" w16cid:durableId="1531652107">
    <w:abstractNumId w:val="1"/>
  </w:num>
  <w:num w:numId="8" w16cid:durableId="1455828240">
    <w:abstractNumId w:val="0"/>
  </w:num>
  <w:num w:numId="9" w16cid:durableId="1128596154">
    <w:abstractNumId w:val="6"/>
  </w:num>
  <w:num w:numId="10" w16cid:durableId="139585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06124"/>
    <w:rsid w:val="00036722"/>
    <w:rsid w:val="000633F2"/>
    <w:rsid w:val="00075309"/>
    <w:rsid w:val="00081D7B"/>
    <w:rsid w:val="00090C92"/>
    <w:rsid w:val="000960BC"/>
    <w:rsid w:val="000B7C64"/>
    <w:rsid w:val="000C6B81"/>
    <w:rsid w:val="00127477"/>
    <w:rsid w:val="00165CE2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2159A"/>
    <w:rsid w:val="00342A42"/>
    <w:rsid w:val="00351F7B"/>
    <w:rsid w:val="00375442"/>
    <w:rsid w:val="0038264B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3F7C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0E9C"/>
    <w:rsid w:val="007564B8"/>
    <w:rsid w:val="00776508"/>
    <w:rsid w:val="007904F5"/>
    <w:rsid w:val="00845263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1099D"/>
    <w:rsid w:val="00A21121"/>
    <w:rsid w:val="00A24B55"/>
    <w:rsid w:val="00A26A2E"/>
    <w:rsid w:val="00A32038"/>
    <w:rsid w:val="00A43DFA"/>
    <w:rsid w:val="00A854D4"/>
    <w:rsid w:val="00AA5193"/>
    <w:rsid w:val="00AC126E"/>
    <w:rsid w:val="00AE1DE9"/>
    <w:rsid w:val="00B134D5"/>
    <w:rsid w:val="00B86D82"/>
    <w:rsid w:val="00B91326"/>
    <w:rsid w:val="00C34607"/>
    <w:rsid w:val="00C779EF"/>
    <w:rsid w:val="00CB47B0"/>
    <w:rsid w:val="00CD0760"/>
    <w:rsid w:val="00CE6F61"/>
    <w:rsid w:val="00D22D19"/>
    <w:rsid w:val="00D466AA"/>
    <w:rsid w:val="00D83CC1"/>
    <w:rsid w:val="00DC0E4B"/>
    <w:rsid w:val="00DD0129"/>
    <w:rsid w:val="00DF0C04"/>
    <w:rsid w:val="00E20230"/>
    <w:rsid w:val="00E2317E"/>
    <w:rsid w:val="00E2380B"/>
    <w:rsid w:val="00E25330"/>
    <w:rsid w:val="00E47AE3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610AA"/>
    <w:rsid w:val="00F822D3"/>
    <w:rsid w:val="00F8421F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6F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6F61"/>
  </w:style>
  <w:style w:type="paragraph" w:styleId="Porat">
    <w:name w:val="footer"/>
    <w:basedOn w:val="prastasis"/>
    <w:link w:val="PoratDiagrama"/>
    <w:uiPriority w:val="99"/>
    <w:unhideWhenUsed/>
    <w:rsid w:val="00CE6F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264</Words>
  <Characters>1832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80</cp:revision>
  <dcterms:created xsi:type="dcterms:W3CDTF">2019-12-10T13:06:00Z</dcterms:created>
  <dcterms:modified xsi:type="dcterms:W3CDTF">2022-05-13T05:18:00Z</dcterms:modified>
</cp:coreProperties>
</file>