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F814" w14:textId="604DAD7D" w:rsidR="005B5C16" w:rsidRPr="00ED7F6C" w:rsidRDefault="005B5C16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1. Naviką infiltruojančių limfocitų (TIL) 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padauginimo iki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terapinės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TIL 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populiacijos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būdas, apimantis:</w:t>
      </w:r>
    </w:p>
    <w:p w14:paraId="5AF4BFA7" w14:textId="30C7A360" w:rsidR="005B5C16" w:rsidRPr="00ED7F6C" w:rsidRDefault="005B5C16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 pirmosios TIL populiacijos gavimą</w:t>
      </w:r>
      <w:r w:rsidR="002156BF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156BF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naviko,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anksčiau 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pašalinto </w:t>
      </w:r>
      <w:r w:rsidR="002156BF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 paciento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2C2CA3D" w14:textId="7EF29132" w:rsidR="005B5C16" w:rsidRPr="00ED7F6C" w:rsidRDefault="005B5C16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(ii) 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pirmąjį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TIL populiacijos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padauginimą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kultivuojant pirmąją TIL populiaciją ląstelių kultūros terpėje, apimančioje IL-2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kad būtų gauta antroji TIL populiacija; ir</w:t>
      </w:r>
    </w:p>
    <w:p w14:paraId="1186A314" w14:textId="4688F7FC" w:rsidR="005B5C16" w:rsidRPr="00ED7F6C" w:rsidRDefault="005B5C16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(iii) 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antrąjį padauginimą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papildant antrosios TIL populiacijos ląstelių kultūros terpę papildomais IL-2, OKT-3 ir antigeną pateikiančiomis ląstelėmis (APC)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būtų gauta trečioji TIL populiacija, kur trečioji TIL populiacija yra bent 100 kartų gausesnė už antrąją TIL populiaciją, ir kur 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antrasis padauginimas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14 dienų</w:t>
      </w:r>
      <w:r w:rsidR="00ED778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kad būtų gauta trečioji TIL populiacija, k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trečioji TIL populiacija yra terapinė TIL populiacija, apimanti didesnę efektorinių T ląstelių ir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centrinės atminties T ląstelių subpopuliaciją, palyginti su antrąja TIL populiacija.</w:t>
      </w:r>
    </w:p>
    <w:p w14:paraId="5A218763" w14:textId="77777777" w:rsidR="00ED7F6C" w:rsidRPr="00ED7F6C" w:rsidRDefault="00ED7F6C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4DE06CD" w14:textId="2BE5C40F" w:rsidR="008111D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 punktą, kur būdas</w:t>
      </w:r>
      <w:r w:rsidR="00F400F4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dar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apima:</w:t>
      </w:r>
    </w:p>
    <w:p w14:paraId="24B79754" w14:textId="77FB1769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 papildom</w:t>
      </w:r>
      <w:r w:rsidR="00F400F4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E43C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antrojo padauginimo </w:t>
      </w:r>
      <w:r w:rsidR="00F400F4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vykdymą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papildant trečiosios TIL populiacijos ląstelių kultūros terpę papildomu IL-2, papildomu OKT-3 ir papildom</w:t>
      </w:r>
      <w:r w:rsidR="00F400F4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omis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APC, kur papildoma</w:t>
      </w:r>
      <w:r w:rsidR="000E43C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400F4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E43C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antrasis padauginimas </w:t>
      </w:r>
      <w:r w:rsidR="00F400F4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0E43C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400F4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 dienų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kad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būtų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gaut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didesnė terapinė TIL populiacija, nei gaut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(iii) 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e, kur didesnė terapinė TIL populiacija apima padidintą efektorinių T ląstelių ir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centrinės atminties T ląstelių subpopuliaciją, palyginti su trečiąja TIL populiacija,</w:t>
      </w:r>
    </w:p>
    <w:p w14:paraId="3235357A" w14:textId="76BE1C70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pasirinktinai, kur po (iii) 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ląstelės yra pašalinamos iš ląstelių kultūros ir 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kriokonservuojamos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E43C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saugojimo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terpėje prieš atliekant (iv) etapą, kur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ląstelės yra atšildomos prieš atliekant (iv) 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pą, 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toliau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pasirinktinai, kur 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(iv) kartojama</w:t>
      </w:r>
      <w:r w:rsidR="00B021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vieno iki keturių kartų, siekiant gauti pakankamai TIL terapinėje TIL populiacijoje</w:t>
      </w:r>
      <w:r w:rsidR="000E43C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kad būtų pasiekta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terapiškai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TIL doz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076E862" w14:textId="77777777" w:rsidR="00ED7F6C" w:rsidRPr="00ED7F6C" w:rsidRDefault="00ED7F6C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2248BA4" w14:textId="14EE8749" w:rsidR="008111D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2 punktą, kur (i)–(iii) arba (iv) 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etapai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atliekam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per laikotarpį nuo maždaug 40 dienų iki maždaug 50 dienų, arba kur (i)–(iii) arba (iv) 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etapai yra atliekami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 laikotarpį nuo maždaug 42 dienų iki maždaug 48 dienų, arba k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(i)–(iii) arba (iv) 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atliekami per laikotarpį nuo maždaug 42 dienų iki maždaug 45 dienų,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br/>
        <w:t>arba kur (i)–(iii) arba (iv) etapa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atliekami maždaug per 44 dienas, kur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ląstelės iš (iii) arba (iv) 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etapų vykdo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CD4, CD8 ir TCR α β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</w:t>
      </w:r>
      <w:r w:rsidR="0027620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lygiais, panašiais į ką tik surinkt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AC21A96" w14:textId="77777777" w:rsidR="00ED7F6C" w:rsidRPr="00ED7F6C" w:rsidRDefault="00ED7F6C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64F6238" w14:textId="23FF8E81" w:rsidR="008111D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 punktą, kur antigeną p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ateikian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čios ląstelės yra periferinio kraujo </w:t>
      </w:r>
      <w:r w:rsidR="00B779F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vienbranduolės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 (PBMC)</w:t>
      </w:r>
      <w:r w:rsidR="00B779F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kur APC yra dirbtinės APC (aAPC), pasirinktinai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PBMC yra pridedam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 ląstelių kultūros bet kurią iš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(iii)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9–17 dienų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10C512C" w14:textId="5581AAF5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70A00A6" w14:textId="4B429CAE" w:rsidR="00157C3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2 ir 3 punktus, kur efektorinės T ląstelės ir/arba centrinės atminties T ląstelės terapinėje TIL populiacijo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(iv)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etape </w:t>
      </w:r>
      <w:r w:rsidR="00B779F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 viena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daugiau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savybi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ų, parinktų iš grupės, susidedančios iš CD27 </w:t>
      </w:r>
      <w:r w:rsidR="00D70F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CD28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os, ilgesni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telomer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padid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ėjusios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CD57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sumažėjusi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CD56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palyginti su efektorinėmis T ląstelėmis ir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centrinės atminties T ląstelėmis trečioje ląstelių populiacijoje, kur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efektorinės T ląstelės ir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centrinės atminties T ląstelės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 padid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ėjusia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CD57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sumažėjusi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CD56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a.</w:t>
      </w:r>
    </w:p>
    <w:p w14:paraId="2092C93F" w14:textId="77673678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8D175EB" w14:textId="51EFCBB8" w:rsidR="001208AF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bet kurį iš ankstesnių punktų, papildomai apimantis pirmosios TIL populiacijos transduk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</w:t>
      </w:r>
      <w:r w:rsidR="001208AF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vektoriumi, apimančiu nukleorūgštį, koduojančią didelio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giminingumo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 ląstelių receptorių, </w:t>
      </w:r>
      <w:r w:rsidR="00157C3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etapą</w:t>
      </w:r>
      <w:r w:rsidR="001208AF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01B0355E" w14:textId="6D885D07" w:rsidR="00045581" w:rsidRPr="00ED7F6C" w:rsidRDefault="001208AF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i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das taip pat apima pirmosios TIL populiacijos transduk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cijos</w:t>
      </w:r>
      <w:r w:rsidR="00C55189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etapą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raiškos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vektoriumi, apimančiu nukleorūgštį, koduojančią chimerinį antigeno receptorių (CAR), apimantį vienos grandinės kintamo fragmento antikūną, sulietą su bent vienu T ląstelių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signalo perdavimo 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molekulė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endodomenu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A3F3B92" w14:textId="61BA1E9A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CB73350" w14:textId="023260D9" w:rsidR="008111D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 punktą, kur (iii)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etapas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papildomai apima ląstelių pašalinimo iš ląstelių auginimo terpės 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pą, kur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(iii)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etapas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kartojama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vieno iki keturių kartų, 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siekiant gauti pakankamai TIL terapinėje TIL populiacijoje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būtų pasiekta terapiškai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veiksminga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TIL dozė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pasirinktinai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terapiškai veiksmingai dozei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pasiekti,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pakankamas TIL skaičius yra nuo maždaug 2,3 ×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 maždaug 13,7 × 10</w:t>
      </w:r>
      <w:r w:rsidRPr="00ED7F6C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6DD2708" w14:textId="0BE2E19B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D2F3354" w14:textId="3A633B33" w:rsidR="008111D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TIL ląstelių populiacijos, </w:t>
      </w:r>
      <w:r w:rsidR="0004558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tos pagal 1 punktą, metabolinio aktyvumo įvertinimo būdas, apimantis:</w:t>
      </w:r>
    </w:p>
    <w:p w14:paraId="66D0D3B0" w14:textId="7AC1FD6F" w:rsidR="008111D1" w:rsidRPr="00ED7F6C" w:rsidRDefault="002156BF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pirmosios TIL populiacijos gavimą iš naviko,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anksčiau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pašalinto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 paciento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455ED49" w14:textId="0841004B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(ii)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pirmojo padauginimo 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vykdymą</w:t>
      </w:r>
      <w:r w:rsidR="002156BF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kultivuojant pirmąją TIL populiaciją ląstelių kultūros terpėje, apimančioje IL-2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būtų gauta antroji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TIL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populiacija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F7D0E5F" w14:textId="55057A21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(iii)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antrojo padauginimo 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vykdymą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papildant antrosios TIL populiacijos ląstelių kultūros terpę papildom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IL-2, OKT-3 ir antigeną pateikiančiomis ląstelėmis (APC)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būtų 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gauta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trečioji TIL populiacija,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trečioji TIL populiacija yra bent 100 kartų gausesnė už antrąją TIL populiaciją, ir kur 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antrasis padauginimas 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14 dienų</w:t>
      </w:r>
      <w:r w:rsidR="009D3223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kad būtų gauta trečioji TIL populiacija, k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="00225B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trečioji TIL populiacija yra terapinė TIL populiacija, apimanti didesnę efektorinių T ląstelių ir/arba centrinės atminties T ląstelių subpopuliaciją, palyginti su antrąja TIL populiacija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B9D07F0" w14:textId="4A56F31B" w:rsidR="008111D1" w:rsidRPr="00ED7F6C" w:rsidRDefault="002156BF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iv) bazinės ląstelių glikolizės matavim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2464937" w14:textId="1759F149" w:rsidR="008111D1" w:rsidRPr="00ED7F6C" w:rsidRDefault="002156BF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v) bazinio ląstelių kvėpavimo matavim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0D73CAAE" w14:textId="010F4C5D" w:rsidR="008111D1" w:rsidRPr="00ED7F6C" w:rsidRDefault="002156BF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vi) ląstelių 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rezervinio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kvėpavimo pajėgumo (SRC) matavim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ir/arba</w:t>
      </w:r>
    </w:p>
    <w:p w14:paraId="2E3326E4" w14:textId="11245612" w:rsidR="008111D1" w:rsidRPr="00ED7F6C" w:rsidRDefault="002156BF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vii) ląstelių glikolitinio rezervo matavim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5C9B88E" w14:textId="77777777" w:rsidR="00ED7F6C" w:rsidRPr="00ED7F6C" w:rsidRDefault="00ED7F6C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CDA612D" w14:textId="75A1DD5F" w:rsidR="002F0825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9. Būdas pagal 2 punktą, kur ląstelės iš ląstelių auginimo terpės (iii) 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etape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pašalinamos ir 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kriokonservuojamos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saugojimo 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terpėje prieš atliekant (iv) etapą, kur, pasirinktinai, ląstelės yra atšildomos prieš atliekant (iv) etapą ir/arba kur (iii) etapas yra kartojamas nuo vieno iki keturių kartų, siekiant gauti pakankamai TIL terapinėje TIL populiacijoje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būtų pasiekta terapiškai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veiksminga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TIL dozė,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pasirinktinai, 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terapiškai veiksmingai dozei pasiekti, pakankamas TIL skaičius yra nuo maždaug 2,3 ×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 maždaug 13,7 × 10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="002F082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B3E19AA" w14:textId="77777777" w:rsidR="00C325EA" w:rsidRPr="00ED7F6C" w:rsidRDefault="00C325EA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EDF023F" w14:textId="7C9862B9" w:rsidR="008111D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TIL tyrimo 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das, 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3C660567" w14:textId="54D5F1A4" w:rsidR="008111D1" w:rsidRPr="00ED7F6C" w:rsidRDefault="00C325EA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 pirmosios TIL populiacijos gavim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8111D1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0EA0414" w14:textId="0CE5C7C8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(ii)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pirmojo padauginimo 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vykdymą,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kultivuojant pirmąją TIL populiaciją ląstelių kultūros terpėje, apimančioje IL-2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būtų gauta antroji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TIL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populiacija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1CAB4DEE" w14:textId="174BF716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(iii)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antrojo padauginimo 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vykdymą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papildant antrosios TIL populiacijos ląstelių auginimo terpę papildom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IL-2, OKT-3 ir antigeną pateikiančiomis ląstelėmis (APC)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būtų 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gauta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trečioji TIL populiacija,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trečioji TIL populiacija yra bent 50 kartų gausesnė už antrąją TIL populiaciją, ir kur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antrasis padauginimas 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C325EA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bent 14 dienų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kad būtų gauta trečioji TIL populiacija, kur trečioji TIL populiacija yra terapinė TIL populiacija, kuri apima padidintą efektorinių ląstelių ir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centrinės atminties T ląstelių subpopuliaciją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palyginti su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antrąj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TIL populiacij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2D9750E" w14:textId="2F8DFE7E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 trečiosios TIL populiacijos surinkim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plovim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kriokonservavimą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B6C92DF" w14:textId="44F6B4CE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(v) 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kriokonservuo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tų TIL laikymą kriogeninėje temperatūroje;</w:t>
      </w:r>
    </w:p>
    <w:p w14:paraId="2F4B475C" w14:textId="5F256238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(vi)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treč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iosios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TIL populiacij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 atšildymą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kad būtų 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gauta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atšildyta trečioji TIL populiacija; ir</w:t>
      </w:r>
    </w:p>
    <w:p w14:paraId="75FD5FCC" w14:textId="0F175C39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 xml:space="preserve">(vii)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papildomo antrojo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atšildytos trečiosios TIL populiacijos dalies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padauginimo vykdymą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papildant trečiosios populiacijos ląstelių kultūros terpę IL-2, OKT-3 ir APC </w:t>
      </w:r>
      <w:r w:rsidR="00CA09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3 dienų pakartotinio REP laikotarpiui, kur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trečiasis padauginimas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atliekama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siekiant gauti ketvirtą</w:t>
      </w:r>
      <w:r w:rsidR="00BA744D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TIL populiaciją, kur TIL skaičius ketvirtoje TIL populiacijoje 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lyginamas su TIL skaičiumi trečiojoje TIL populiacijoje</w:t>
      </w:r>
      <w:r w:rsidR="008F6D16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tam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kad būtų gautas</w:t>
      </w:r>
      <w:r w:rsidR="00BA744D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santykis;</w:t>
      </w:r>
    </w:p>
    <w:p w14:paraId="14510AF9" w14:textId="4DE99806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(viii) remiantis santykiu (vii) </w:t>
      </w:r>
      <w:r w:rsidR="00BA744D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e, 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nustatymą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 atšildyta TIL populiacija yra tinkama įvesti pacientui;</w:t>
      </w:r>
    </w:p>
    <w:p w14:paraId="5522B0D2" w14:textId="22B46078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terapiškai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veiksminga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atšildytos</w:t>
      </w:r>
      <w:r w:rsidR="00A65E4B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trečiosios TIL populiacijos dozė yra skir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iama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pacientui, kai nustatoma, kad TIL skaičiaus ketvirtoje TIL populiacijoje ir TIL skaičiaus trečioje TIL populiacijoje santykis yra didesnis nei 5 :1 (viii)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e, kur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pakartotinis REP laikotarpis atliekamas tol, kol TIL skaičiaus ketvirtoje TIL populiacijoje ir TIL skaičiaus trečiojoje TIL populiacijoje santykis yra didesnis nei 50:1, kur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TIL skaičius, kurio pakanka terapiškai veiksmingai dozei, yra 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nuo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maždaug 2,3 × 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 maždaug 13,7 × 10</w:t>
      </w:r>
      <w:r w:rsidRPr="00ED7F6C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10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ir/arba kur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(i)–(vii)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etapai yra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atliekami per laikotarpį nuo maždaug 40 dienų iki maždaug 50 dienų, arba kur (i)–(vii)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etapai yra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atliekami per laikotarpį nuo maždaug 42 dienų iki maždaug 48 dienų. arba kur (i) – (vii)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etapai yra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atliekami 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nuo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maždaug 42 dienų 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iki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maždaug 45 dienų laikotarpį, arba kur (i) – (vii)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etapai yra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atliekami maždaug per 44 dienas.</w:t>
      </w:r>
    </w:p>
    <w:p w14:paraId="041EC1A9" w14:textId="1CD8C79C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E1F3B5E" w14:textId="7B425CFB" w:rsidR="000610B5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 Būdas pagal 10 punktą, kur (iii) arba (vii)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etapų ląstelės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CD4, CD8 ir TCR α β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raišką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lygiais, panašiais į ką tik surinkt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antigeną pateikiančios ląstelės yra periferinio kraujo 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vienbranduolės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 (PBMC) arba dirbtin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APC (aAPC), kur</w:t>
      </w:r>
      <w:r w:rsidR="000610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pasirinktinai</w:t>
      </w:r>
      <w:r w:rsidR="000610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PBMC dedam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 ląstelių kultūrą bet kurią iš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(iii) etapo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9–17 dienų, pasirinktinai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efektorinės T ląstelės ir</w:t>
      </w:r>
      <w:r w:rsidR="00A5480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centrinės atminties T ląstelės didesnėje TIL populiacijoje (iii) arba (vii) </w:t>
      </w:r>
      <w:r w:rsidR="000610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etapuose 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 viena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daugiau savybių, parinktų iš </w:t>
      </w:r>
      <w:r w:rsidR="000610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grupės, susidedančios iš CD27 raiškos, CD28 raiškos, ilgesnių telomerų, padidėjusios CD57 raiškos ir sumažėjusios CD56 raiškos, palyginti su efektorinėmis T ląstelėmis ir/arba centrinės atminties T ląstelėmis trečioje ląstelių populiacijoje, </w:t>
      </w:r>
      <w:r w:rsidR="00746BB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ir/arba </w:t>
      </w:r>
      <w:r w:rsidR="000610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efektorinės T ląstelės ir/arba centrinės atminties T ląstelės pasižymi padidėjusia CD57 raiška ir sumažėjusia CD56 raiška</w:t>
      </w:r>
      <w:r w:rsidR="003051C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AF823A6" w14:textId="3E4CA167" w:rsidR="008111D1" w:rsidRPr="00ED7F6C" w:rsidRDefault="008111D1" w:rsidP="00ED7F6C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FE9B06D" w14:textId="10A27534" w:rsidR="008111D1" w:rsidRPr="00ED7F6C" w:rsidRDefault="008111D1" w:rsidP="00ED7F6C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10 ir 11 punktus, papildomai apimantis pirmosios TIL populiacijos</w:t>
      </w:r>
      <w:r w:rsidR="00ED7F6C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610B5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transdukcijos raiškos vektoriumi, apimančiu nukleorūgštį, koduojančią didelio giminingumo T ląstelių receptorių, etapą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pirmosios TIL populiacijos transdukcijos</w:t>
      </w:r>
      <w:r w:rsidR="0010742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etapą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raiškos vektoriumi,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apiman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čiu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nukleorūgštį, koduojančią chimerinį antigeno receptorių (CAR), apimantį vienos grandinės kintamo fragmento antikūną, sulietą su bent vienu T</w:t>
      </w:r>
      <w:r w:rsidR="0010742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ląstelių </w:t>
      </w:r>
      <w:r w:rsidR="00107428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signalo perdavimo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molekulės endodomenu, pasirinktinai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transduk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cijos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etapas vyk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domas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(i) 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ą, pasirinktinai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yra tiriam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TIL 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gyvybingum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po (vii) etapo</w:t>
      </w:r>
      <w:r w:rsidR="00E029E0"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atlikimo</w:t>
      </w:r>
      <w:r w:rsidRPr="00ED7F6C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8111D1" w:rsidRPr="00ED7F6C" w:rsidSect="0021750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FF3C" w14:textId="77777777" w:rsidR="0021750F" w:rsidRDefault="0021750F" w:rsidP="008111D1">
      <w:pPr>
        <w:spacing w:after="0" w:line="240" w:lineRule="auto"/>
      </w:pPr>
      <w:r>
        <w:separator/>
      </w:r>
    </w:p>
  </w:endnote>
  <w:endnote w:type="continuationSeparator" w:id="0">
    <w:p w14:paraId="568F3ACA" w14:textId="77777777" w:rsidR="0021750F" w:rsidRDefault="0021750F" w:rsidP="0081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EBCAF" w14:textId="77777777" w:rsidR="0021750F" w:rsidRDefault="0021750F" w:rsidP="008111D1">
      <w:pPr>
        <w:spacing w:after="0" w:line="240" w:lineRule="auto"/>
      </w:pPr>
      <w:r>
        <w:separator/>
      </w:r>
    </w:p>
  </w:footnote>
  <w:footnote w:type="continuationSeparator" w:id="0">
    <w:p w14:paraId="5CE77A6D" w14:textId="77777777" w:rsidR="0021750F" w:rsidRDefault="0021750F" w:rsidP="00811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D1"/>
    <w:rsid w:val="00045581"/>
    <w:rsid w:val="000610B5"/>
    <w:rsid w:val="000A55DF"/>
    <w:rsid w:val="000E43C8"/>
    <w:rsid w:val="00107428"/>
    <w:rsid w:val="001208AF"/>
    <w:rsid w:val="00150092"/>
    <w:rsid w:val="00157C31"/>
    <w:rsid w:val="001A6E79"/>
    <w:rsid w:val="00207121"/>
    <w:rsid w:val="002156BF"/>
    <w:rsid w:val="0021750F"/>
    <w:rsid w:val="00225BB5"/>
    <w:rsid w:val="00276205"/>
    <w:rsid w:val="002F0825"/>
    <w:rsid w:val="003051C6"/>
    <w:rsid w:val="00383031"/>
    <w:rsid w:val="00507E6A"/>
    <w:rsid w:val="005B5C16"/>
    <w:rsid w:val="0063357D"/>
    <w:rsid w:val="00746BBC"/>
    <w:rsid w:val="007517EC"/>
    <w:rsid w:val="008111D1"/>
    <w:rsid w:val="008F6D16"/>
    <w:rsid w:val="009D3223"/>
    <w:rsid w:val="00A54800"/>
    <w:rsid w:val="00A65E4B"/>
    <w:rsid w:val="00A67F05"/>
    <w:rsid w:val="00B021EA"/>
    <w:rsid w:val="00B779F1"/>
    <w:rsid w:val="00BA744D"/>
    <w:rsid w:val="00C325EA"/>
    <w:rsid w:val="00C55189"/>
    <w:rsid w:val="00CA09BC"/>
    <w:rsid w:val="00D44D77"/>
    <w:rsid w:val="00D706ED"/>
    <w:rsid w:val="00D70FD1"/>
    <w:rsid w:val="00D74567"/>
    <w:rsid w:val="00D82E91"/>
    <w:rsid w:val="00DE78B6"/>
    <w:rsid w:val="00E029E0"/>
    <w:rsid w:val="00ED778B"/>
    <w:rsid w:val="00ED7F6C"/>
    <w:rsid w:val="00F134D7"/>
    <w:rsid w:val="00F4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BE096"/>
  <w15:chartTrackingRefBased/>
  <w15:docId w15:val="{A0A07D34-AF3C-4C22-8CB1-853358E0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1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11D1"/>
  </w:style>
  <w:style w:type="paragraph" w:styleId="Porat">
    <w:name w:val="footer"/>
    <w:basedOn w:val="prastasis"/>
    <w:link w:val="PoratDiagrama"/>
    <w:uiPriority w:val="99"/>
    <w:unhideWhenUsed/>
    <w:rsid w:val="0081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11D1"/>
  </w:style>
  <w:style w:type="paragraph" w:styleId="Pataisymai">
    <w:name w:val="Revision"/>
    <w:hidden/>
    <w:uiPriority w:val="99"/>
    <w:semiHidden/>
    <w:rsid w:val="00ED7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9D8E-4C00-40C1-8D22-6F0D6821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1483</Words>
  <Characters>8456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11</cp:revision>
  <dcterms:created xsi:type="dcterms:W3CDTF">2024-03-15T17:47:00Z</dcterms:created>
  <dcterms:modified xsi:type="dcterms:W3CDTF">2024-04-30T08:21:00Z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e14a7d9ef4388c6dbcf5b2b8f460e079adfde984deedc2147b82bcda1af0a9f9</vt:lpwstr>
  </property>
</Properties>
</file>