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A0EE" w14:textId="05348636" w:rsidR="00A142D2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šskir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tas monokloninis antikūnas, kuris 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jungi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asi prie žmogaus programuotos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ląstelių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žū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ties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baltymo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 (</w:t>
      </w:r>
      <w:bookmarkStart w:id="0" w:name="_Hlk83362611"/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PD-1), </w:t>
      </w:r>
      <w:bookmarkEnd w:id="0"/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kur antikūnas apima (a) HCDR1, apimantį aminorūgščių seką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21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; (b)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HCDR2, apimant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aminorūgščių seką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22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; (c) HCDR3, apimant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aminorūgščių seką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23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; (d) LCDR1, apimant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aminorūgščių seką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25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; (e) LCDR2, apimant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aminorūgščių seką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26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; ir (f) LCDR3, 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apimantį aminorūgščių seką SEQ ID Nr. 27.</w:t>
      </w:r>
    </w:p>
    <w:p w14:paraId="23876A4B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EF1758A" w14:textId="678990DD" w:rsidR="00C25F2B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Išskirtas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monokloninis antikūnas pagal 1 punktą, apimantis sunkiosios grandinės kintamą sritį (V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 ir lengvos grandinės kintam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srit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(</w:t>
      </w:r>
      <w:bookmarkStart w:id="1" w:name="_Hlk83358748"/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L</w:t>
      </w:r>
      <w:bookmarkEnd w:id="1"/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), kur V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 yra bent 95% identiška 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aminorūgščių sekai</w:t>
      </w:r>
      <w:r w:rsidR="00C25F2B"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SEQ ID Nr. 20 ir </w:t>
      </w:r>
      <w:bookmarkStart w:id="2" w:name="_Hlk83358962"/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="00C25F2B"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L</w:t>
      </w:r>
      <w:bookmarkEnd w:id="2"/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bent 95% identiška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aminorūgščių sekai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SEQ ID Nr. 24.</w:t>
      </w:r>
    </w:p>
    <w:p w14:paraId="0A7980B1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FE868DA" w14:textId="367867F8" w:rsidR="00F72AD6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Išskirtas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monokloninis antikūnas pagal 1 punktą, apimantis sunkiosios grandinės kintamą sritį (V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 ir lengvos grandinės kintam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srit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(V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L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), kur V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 apima</w:t>
      </w:r>
      <w:r w:rsidR="00F72AD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aminorūgščių seką SEQ ID Nr. 20 ir V</w:t>
      </w:r>
      <w:r w:rsidR="00F72AD6"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L</w:t>
      </w:r>
      <w:r w:rsidR="00F72AD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apima aminorūgščių seką SEQ ID Nr. 24.</w:t>
      </w:r>
    </w:p>
    <w:p w14:paraId="20204825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BFC5D37" w14:textId="594D6B92" w:rsidR="002431D2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Išskirtas</w:t>
      </w:r>
      <w:r w:rsidR="006E3A33" w:rsidRPr="00513D16">
        <w:rPr>
          <w:rFonts w:ascii="Helvetica" w:eastAsia="Times New Roman" w:hAnsi="Helvetica" w:cs="Helvetica"/>
          <w:sz w:val="20"/>
          <w:szCs w:val="24"/>
          <w:lang w:eastAsia="lt-LT"/>
        </w:rPr>
        <w:t> 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monokloninis antikūnas pagal bet kurį iš ankstesnių punktų, kur antikūnas </w:t>
      </w:r>
      <w:r w:rsidR="00F72AD6" w:rsidRPr="00513D16">
        <w:rPr>
          <w:rFonts w:ascii="Helvetica" w:eastAsia="Times New Roman" w:hAnsi="Helvetica" w:cs="Helvetica"/>
          <w:sz w:val="20"/>
          <w:szCs w:val="24"/>
          <w:lang w:eastAsia="lt-LT"/>
        </w:rPr>
        <w:t>jungiasi prie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žmogaus PD-1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>giminingumu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(K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D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 mažesni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nei 5 nM,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kaip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nustatyta</w:t>
      </w:r>
      <w:r w:rsidR="002431D2" w:rsidRPr="00513D16">
        <w:rPr>
          <w:rFonts w:ascii="Helvetica" w:hAnsi="Helvetica" w:cs="Helvetica"/>
          <w:sz w:val="20"/>
        </w:rPr>
        <w:t xml:space="preserve"> 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naudojant biosluoksnio interferometriją.</w:t>
      </w:r>
    </w:p>
    <w:p w14:paraId="6C4E797F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0B8088A" w14:textId="0C9873A3" w:rsidR="002431D2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5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Išskirtas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monokloninis antikūnas pagal bet kurį iš ankstesnių punktų, kur antikūnas jungiasi prie pelės PD-1 su 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giminingumu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(K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D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 mažesni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nei 10 nM, kaip nustatyta 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naudojant biosluoksnio interferometriją.</w:t>
      </w:r>
    </w:p>
    <w:p w14:paraId="5142A548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1A0F7C9" w14:textId="7709E27C" w:rsidR="002431D2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6</w:t>
      </w:r>
      <w:r w:rsidR="00C25F2B" w:rsidRPr="00513D16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Išskirtas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monokloninis antikūnas pagal bet kurį iš ankstesnių punktų, kur antikūnas 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yra žmogaus antikūnas.</w:t>
      </w:r>
    </w:p>
    <w:p w14:paraId="6260D82D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D4D1B2D" w14:textId="77777777" w:rsidR="00513D16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Išskirtas</w:t>
      </w:r>
      <w:r w:rsidR="00AF5A14" w:rsidRPr="00513D16">
        <w:rPr>
          <w:rFonts w:ascii="Helvetica" w:eastAsia="Times New Roman" w:hAnsi="Helvetica" w:cs="Helvetica"/>
          <w:sz w:val="20"/>
          <w:szCs w:val="24"/>
          <w:lang w:eastAsia="lt-LT"/>
        </w:rPr>
        <w:t> 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monokloninis antikūnas pagal bet kurį iš ankstesnių punktų, kur antikūnas yra antikūno fragmentas, parinktas iš Fab, Fab', Fv, scFv arba (Fab')</w:t>
      </w:r>
      <w:r w:rsidRPr="00513D16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2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 fragment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69223D50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9FD0C4B" w14:textId="7A066586" w:rsidR="002431D2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Išskirtas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monokloninis antikūnas pagal bet kurį 1-6 punkt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 antikūnas yra viso </w:t>
      </w:r>
      <w:r w:rsidR="002431D2" w:rsidRPr="00513D16">
        <w:rPr>
          <w:rFonts w:ascii="Helvetica" w:eastAsia="Times New Roman" w:hAnsi="Helvetica" w:cs="Helvetica"/>
          <w:sz w:val="20"/>
          <w:szCs w:val="24"/>
          <w:lang w:eastAsia="lt-LT"/>
        </w:rPr>
        <w:t>ilgio antikūnas.</w:t>
      </w:r>
    </w:p>
    <w:p w14:paraId="436BE34C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AE5AFA2" w14:textId="7A9CD1CE" w:rsidR="00513D16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>Išskirtas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monokloninis antikūnas pagal bet kurį iš ankstesnių punktų, kur antikūnas slopina PD-1 prisijungimą prie PD-L1 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>ir (arba)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slopina PD-1 prisijungimą prie PD-L2.</w:t>
      </w:r>
    </w:p>
    <w:p w14:paraId="084EE181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036DC1D" w14:textId="57041745" w:rsidR="00655C81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A142D2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Išskirta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nukleorūgštis, koduojanti antikūną pagal bet kurį iš ankstesnių punktų.</w:t>
      </w:r>
    </w:p>
    <w:p w14:paraId="52FD907A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894F410" w14:textId="5A2B2C45" w:rsidR="00D1230D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Ląstelė-šeimininkė, gaminanti antikūną pagal bet kurį iš 1-9 punktų.</w:t>
      </w:r>
    </w:p>
    <w:p w14:paraId="03D55381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BBBFB53" w14:textId="77777777" w:rsidR="00513D16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ntikūno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prieš</w:t>
      </w:r>
      <w:r w:rsidR="00AF5A14" w:rsidRPr="00513D16">
        <w:rPr>
          <w:rFonts w:ascii="Helvetica" w:eastAsia="Times New Roman" w:hAnsi="Helvetica" w:cs="Helvetica"/>
          <w:sz w:val="20"/>
          <w:szCs w:val="24"/>
          <w:lang w:eastAsia="lt-LT"/>
        </w:rPr>
        <w:t> 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PD-1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gamybos būdas, apimantis ląstelės-šeimininkės pagal 11 punktą auginimą sąlygomis, tinkamomis antikūno 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raišk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ai, ir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pasirinktinai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antikūno 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išgav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imą.</w:t>
      </w:r>
    </w:p>
    <w:p w14:paraId="17564300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D01A09F" w14:textId="536B1A5E" w:rsidR="00D1230D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Farmacinė kompozicija, apimanti antikūną pagal bet kurį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1-9 punkt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farmaci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niu požiūriu priimtiną nešiklį.</w:t>
      </w:r>
    </w:p>
    <w:p w14:paraId="2793AE3D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2E10D24" w14:textId="221C3631" w:rsidR="00D1230D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14.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Antikūnas pagal bet kurį iš 1-9 punktų arba farmacinė kompozicija pagal 13 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punktą, skirti naudoti vėžio gydymui.</w:t>
      </w:r>
    </w:p>
    <w:p w14:paraId="1777653A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8F345CE" w14:textId="77777777" w:rsidR="00513D16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15.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Antikūnas arba farmacinė kompozicija, skirt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14 punktą, kur vėžys yra parinktas iš melanomos, nesmulkialąstelinio plaučių vėžio (NSL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PV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), inkstų ląstelių karcinomos (</w:t>
      </w:r>
      <w:r w:rsidR="00D1230D" w:rsidRPr="00513D16">
        <w:rPr>
          <w:rFonts w:ascii="Helvetica" w:eastAsia="Times New Roman" w:hAnsi="Helvetica" w:cs="Helvetica"/>
          <w:sz w:val="20"/>
          <w:szCs w:val="24"/>
          <w:lang w:eastAsia="lt-LT"/>
        </w:rPr>
        <w:t>ILK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), skrandžio vėžio, šlapimo pūslės vėžio, difuzinės did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>žiųjų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B ląstelių limfomos (D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D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B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L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L), Hodžkino limfom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, kiaušidžių vėž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io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, galvos ir kaklo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srities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plokščiųjų ląstelių vėž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io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(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GKPLV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), mezoteliom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trigubai neigiam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krūties vėž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io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(TN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KV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).</w:t>
      </w:r>
    </w:p>
    <w:p w14:paraId="073E9613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3730737" w14:textId="0F79053F" w:rsidR="008F58E5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16.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Antikūnas arba farmacinė kompozicija, skirt</w:t>
      </w:r>
      <w:r w:rsidR="00F129B6" w:rsidRPr="00513D16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15 punktą, kur vėžys yra parinktas iš melanomos, skrandžio vėžio, galvos ir kaklo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srities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plokščiųjų ląstelių vėžio (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GKPLV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), nesmulkialąstelinio plaučių vėžio (N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SLPV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) ir trigub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ai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neigiamo krūties 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vėžio (TNKV).</w:t>
      </w:r>
    </w:p>
    <w:p w14:paraId="2A33C36B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9B1FD24" w14:textId="1EDCA0D6" w:rsidR="008F58E5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17. Antikūnas arba farmacinė kompozicija, skirt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bet kurį iš 14-16 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punktų, kur gydymas apima bent vieno papildomo terapinio agento skyrimą.</w:t>
      </w:r>
    </w:p>
    <w:p w14:paraId="1112F7BA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AE9D7BD" w14:textId="77777777" w:rsidR="00513D16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18.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Antikūnas arba farmacinė kompozicija, skirt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17 punktą, kur papildomas terapinis agentas yra parinktas iš antikūno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prieš ICOS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antikūno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prieš CTLA4.</w:t>
      </w:r>
    </w:p>
    <w:p w14:paraId="15591B02" w14:textId="77777777" w:rsidR="00513D16" w:rsidRPr="00513D16" w:rsidRDefault="00513D16" w:rsidP="00513D1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20D4876" w14:textId="10EBCA73" w:rsidR="00655C81" w:rsidRPr="00513D16" w:rsidRDefault="00655C81" w:rsidP="00513D1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19.</w:t>
      </w:r>
      <w:r w:rsidR="00513D16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Antikūnas arba farmacinė kompozicija, skirt</w:t>
      </w:r>
      <w:r w:rsidR="008F58E5" w:rsidRPr="00513D16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bet kurį iš 14-18 punktų, kur nustatyta, kad vėžio mėginys 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pasižymi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PD-1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raiška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, pasirinktinai, k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ur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mėgin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iui būdingas PD-1 dažymasis</w:t>
      </w:r>
      <w:r w:rsidR="00AF5A14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1+, 2+ arba 3+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, tiriant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imunohistochemi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škai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(IHC); arba kur buvo nustatyta, kad mėginyje yra padidėjęs PD-L1 lygis, pasirinktinai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PD-L1 lygi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>nustatom</w:t>
      </w:r>
      <w:r w:rsidR="002A6B55" w:rsidRPr="00513D16">
        <w:rPr>
          <w:rFonts w:ascii="Helvetica" w:eastAsia="Times New Roman" w:hAnsi="Helvetica" w:cs="Helvetica"/>
          <w:sz w:val="20"/>
          <w:szCs w:val="24"/>
          <w:lang w:eastAsia="lt-LT"/>
        </w:rPr>
        <w:t>as</w:t>
      </w:r>
      <w:r w:rsidRPr="00513D1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naudojant IHC.</w:t>
      </w:r>
      <w:bookmarkStart w:id="3" w:name="_GoBack"/>
      <w:bookmarkEnd w:id="3"/>
    </w:p>
    <w:sectPr w:rsidR="00655C81" w:rsidRPr="00513D16" w:rsidSect="00513D1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38888" w14:textId="77777777" w:rsidR="00041151" w:rsidRDefault="00041151" w:rsidP="00F129B6">
      <w:pPr>
        <w:spacing w:after="0" w:line="240" w:lineRule="auto"/>
      </w:pPr>
      <w:r>
        <w:separator/>
      </w:r>
    </w:p>
  </w:endnote>
  <w:endnote w:type="continuationSeparator" w:id="0">
    <w:p w14:paraId="530DE247" w14:textId="77777777" w:rsidR="00041151" w:rsidRDefault="00041151" w:rsidP="00F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C360" w14:textId="77777777" w:rsidR="00041151" w:rsidRDefault="00041151" w:rsidP="00F129B6">
      <w:pPr>
        <w:spacing w:after="0" w:line="240" w:lineRule="auto"/>
      </w:pPr>
      <w:r>
        <w:separator/>
      </w:r>
    </w:p>
  </w:footnote>
  <w:footnote w:type="continuationSeparator" w:id="0">
    <w:p w14:paraId="03B2D536" w14:textId="77777777" w:rsidR="00041151" w:rsidRDefault="00041151" w:rsidP="00F12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81"/>
    <w:rsid w:val="00041151"/>
    <w:rsid w:val="001E750D"/>
    <w:rsid w:val="002431D2"/>
    <w:rsid w:val="002A6B55"/>
    <w:rsid w:val="00317668"/>
    <w:rsid w:val="00513D16"/>
    <w:rsid w:val="00626ADB"/>
    <w:rsid w:val="00655C81"/>
    <w:rsid w:val="006E3A33"/>
    <w:rsid w:val="006F34F1"/>
    <w:rsid w:val="008F58E5"/>
    <w:rsid w:val="00A142D2"/>
    <w:rsid w:val="00AF5A14"/>
    <w:rsid w:val="00C25F2B"/>
    <w:rsid w:val="00D1230D"/>
    <w:rsid w:val="00EC1F5E"/>
    <w:rsid w:val="00F129B6"/>
    <w:rsid w:val="00F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E1D0EA"/>
  <w15:chartTrackingRefBased/>
  <w15:docId w15:val="{F2A1324C-6486-4E31-B2D3-7025F6E6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B6"/>
  </w:style>
  <w:style w:type="paragraph" w:styleId="Footer">
    <w:name w:val="footer"/>
    <w:basedOn w:val="Normal"/>
    <w:link w:val="FooterChar"/>
    <w:uiPriority w:val="99"/>
    <w:unhideWhenUsed/>
    <w:rsid w:val="00F1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3355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2021-11-09T14:56:00Z</dcterms:created>
  <dcterms:modified xsi:type="dcterms:W3CDTF">2021-11-09T14:56:00Z</dcterms:modified>
</cp:coreProperties>
</file>