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50F9" w14:textId="4F88D8A8" w:rsidR="00021B47" w:rsidRPr="003D3E46" w:rsidRDefault="00B03CE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SGLT2 inhibitorius 1-chlor-4-(β-D-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>glikopiranoz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-1-il)-2-[4-((</w:t>
      </w:r>
      <w:r w:rsidR="00021B47" w:rsidRPr="003D3E46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)-tetrahidrofuran-3-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>iloksi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)-benzil]-benzenas, skirtas naudoti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taikant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pacientui, kuriam to reikia, hipoglikemijos gydymo, prevencijos ar jos rizikos mažinimo 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>būdą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, kuris b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e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k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r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a tuo, kad SGLT2 inhibitorius 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įvedamas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kartu su insulinu.</w:t>
      </w:r>
    </w:p>
    <w:p w14:paraId="26559ADC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FF53368" w14:textId="7EA144D9" w:rsidR="00021B47" w:rsidRPr="003D3E46" w:rsidRDefault="00B03CE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SGLT2 inhibitorius pagal 1 punktą, skirtas naudoti pagal 1 punktą, kuris b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e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k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r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a tuo, kad SGLT2 inhibitorius ir insulinas pacientui 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>įvedami derinyje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arba pakaitomis.</w:t>
      </w:r>
    </w:p>
    <w:p w14:paraId="760E0BED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E49A62F" w14:textId="77777777" w:rsidR="00067F2A" w:rsidRDefault="00B03CE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SGLT2 inhibitorius pagal 1 punktą, skirtas naudoti pagal 1 arba 2 punktą, kuris b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e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k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r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a tuo, kad pacientui pasireiškia viena, dvi ar daugiau iš šių būklių:</w:t>
      </w:r>
    </w:p>
    <w:p w14:paraId="04401EC8" w14:textId="77777777" w:rsidR="00067F2A" w:rsidRDefault="001B75AB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>(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a) 1 tipo cukrinis diabetas;</w:t>
      </w:r>
    </w:p>
    <w:p w14:paraId="0606375B" w14:textId="77777777" w:rsidR="00067F2A" w:rsidRDefault="001B75AB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>(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b) poreikis gydytis insulinu;</w:t>
      </w:r>
    </w:p>
    <w:p w14:paraId="4CC1D32E" w14:textId="5D9DB3C3" w:rsidR="00021B47" w:rsidRPr="003D3E46" w:rsidRDefault="001B75AB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>(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c) latentinis autoimuninis diabetas, pasireiškiantis suaugusiesiems (LADA).</w:t>
      </w:r>
    </w:p>
    <w:p w14:paraId="74BDA3F9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FF93E2A" w14:textId="77777777" w:rsidR="00EF632D" w:rsidRDefault="00B03CE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SGLT2 inhibitorius pagal 1 punktą, skirtas naudoti pagal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vieną arba daugiau iš 1 - 3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punktų, kuris b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e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k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r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a tuo, kad pacientas yra</w:t>
      </w:r>
      <w:r w:rsidR="001B75AB" w:rsidRPr="003D3E46">
        <w:rPr>
          <w:rFonts w:ascii="Helvetica" w:hAnsi="Helvetica" w:cs="Arial"/>
          <w:sz w:val="20"/>
          <w:szCs w:val="24"/>
          <w:lang w:val="lt-LT"/>
        </w:rPr>
        <w:t xml:space="preserve"> pacientas, kuris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gydomas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 arba turi būti gydomas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insulinu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>,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ir kuriam pasireiškia viena, dvi ar daugiau iš toliau išvardytų būklių, įskaitant riziką tokioms būklėms išsivystyti:</w:t>
      </w:r>
    </w:p>
    <w:p w14:paraId="0D17771D" w14:textId="77777777" w:rsidR="00EF632D" w:rsidRDefault="002D7532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>(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d) naktinė ir (arba) ankstyva rytinė hipoglikemija;</w:t>
      </w:r>
    </w:p>
    <w:p w14:paraId="6109C1C8" w14:textId="77777777" w:rsidR="00EF632D" w:rsidRDefault="002D7532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>(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e) hipoglikemijos epizodai;</w:t>
      </w:r>
    </w:p>
    <w:p w14:paraId="5DE1C45F" w14:textId="77777777" w:rsidR="00EF632D" w:rsidRDefault="002D7532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>(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f) hiperglikemijos epizodai;</w:t>
      </w:r>
    </w:p>
    <w:p w14:paraId="2BD53352" w14:textId="77777777" w:rsidR="00EF632D" w:rsidRDefault="002D7532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>(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g) širdies ar smegenų komplikacijos;</w:t>
      </w:r>
    </w:p>
    <w:p w14:paraId="641E6823" w14:textId="77777777" w:rsidR="00EF632D" w:rsidRDefault="002D7532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>(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h)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retinopatija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, ypač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proliferacinė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retinopatija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>;</w:t>
      </w:r>
    </w:p>
    <w:p w14:paraId="42CF609B" w14:textId="0AE3E6EA" w:rsidR="00021B47" w:rsidRPr="003D3E46" w:rsidRDefault="002D7532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>(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i) reakcijos injekcijos vietoje, pavyzdžiui, odos ar poodinio audinio sutrikimai.</w:t>
      </w:r>
    </w:p>
    <w:p w14:paraId="3B19151C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8B9EC6F" w14:textId="22F93395" w:rsidR="00021B47" w:rsidRPr="003D3E46" w:rsidRDefault="00B03CE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SGLT2 inhibitorius pagal 1 punktą, skirtas naudoti pagal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 vieną arba daugiau iš 1 - 4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punktų, kur pacientas yra asmuo, kuriam diagnozuota viena ar daugiau būklių, atrinktų iš grupės, susidedančios iš antsvorio, nutukimo,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visceralinio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nutukimo ir pilvinio nutukimo, ir (arba) kur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 pacientas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yra pacientas, kuriam svorio didinimas yra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kontraindikuotinas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>.</w:t>
      </w:r>
    </w:p>
    <w:p w14:paraId="0F3EB1FF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FB014CB" w14:textId="1FBE6462" w:rsidR="00021B47" w:rsidRPr="003D3E46" w:rsidRDefault="00B03CE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SGLT2 inhibitorius pagal 1 punktą, skirtas naudoti pagal 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>vieną arba daugiau iš 1 - 5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punktų, 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>b e s i s k i r i a</w:t>
      </w:r>
      <w:r w:rsidR="002D7532" w:rsidRPr="003D3E46" w:rsidDel="002D753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>n t i s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tuo, kad SGLT2 inhibitoriaus kiekis yra nuo 1 iki 25 mg per parą.</w:t>
      </w:r>
    </w:p>
    <w:p w14:paraId="5C6B771C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11AB1F9" w14:textId="22279686" w:rsidR="00021B47" w:rsidRPr="003D3E46" w:rsidRDefault="00B03CE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7.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SGLT2 inhibitorius pagal 1 punktą, skirtas naudoti pagal 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>vieną arba daugiau iš 1 - 6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punktų, kuris b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e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s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k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r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i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a tuo, kad 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pacientas yra pacientas, kuriam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rekomenduojama mažinti insulino dozę.</w:t>
      </w:r>
    </w:p>
    <w:p w14:paraId="29DFFD24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82A6B9C" w14:textId="5B39E7EC" w:rsidR="00021B47" w:rsidRPr="003D3E46" w:rsidRDefault="00B03CE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SGLT2 inhibitorius pagal 1 punktą, skirtas naudoti pagal 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>vieną arba daugiau iš 1 - 7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punktų, 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>b e s i s k i r i a</w:t>
      </w:r>
      <w:r w:rsidR="002D7532" w:rsidRPr="003D3E46" w:rsidDel="002D753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>n t i s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tuo, kad insulino dozė sumažinama, palyginti su 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minėto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insulino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monoterapija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>.</w:t>
      </w:r>
    </w:p>
    <w:p w14:paraId="24E813DC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E6F0475" w14:textId="23C3D077" w:rsidR="00021B47" w:rsidRPr="003D3E46" w:rsidRDefault="00B03CE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SGLT2 inhibitorius pagal 1 punktą, skirtas naudoti pagal </w:t>
      </w:r>
      <w:r w:rsidR="002D7532" w:rsidRPr="003D3E46">
        <w:rPr>
          <w:rFonts w:ascii="Helvetica" w:hAnsi="Helvetica" w:cs="Arial"/>
          <w:sz w:val="20"/>
          <w:szCs w:val="24"/>
          <w:lang w:val="lt-LT"/>
        </w:rPr>
        <w:t xml:space="preserve">vieną arba daugiau iš 1 - </w:t>
      </w:r>
      <w:r w:rsidR="00CB3511" w:rsidRPr="003D3E46">
        <w:rPr>
          <w:rFonts w:ascii="Helvetica" w:hAnsi="Helvetica" w:cs="Arial"/>
          <w:sz w:val="20"/>
          <w:szCs w:val="24"/>
          <w:lang w:val="lt-LT"/>
        </w:rPr>
        <w:t>8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punktų, </w:t>
      </w:r>
      <w:r w:rsidR="00CB3511" w:rsidRPr="003D3E46">
        <w:rPr>
          <w:rFonts w:ascii="Helvetica" w:hAnsi="Helvetica" w:cs="Arial"/>
          <w:sz w:val="20"/>
          <w:szCs w:val="24"/>
          <w:lang w:val="lt-LT"/>
        </w:rPr>
        <w:t>b e s i s k i r i a</w:t>
      </w:r>
      <w:r w:rsidR="00CB3511" w:rsidRPr="003D3E46" w:rsidDel="002D753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B3511" w:rsidRPr="003D3E46">
        <w:rPr>
          <w:rFonts w:ascii="Helvetica" w:hAnsi="Helvetica" w:cs="Arial"/>
          <w:sz w:val="20"/>
          <w:szCs w:val="24"/>
          <w:lang w:val="lt-LT"/>
        </w:rPr>
        <w:t>n t i s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tuo, kad pacientas nepakankamai kontroliuoja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glikemiją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, ypač nepaisant gydymo insulinu, pavyzdžiui, nepaisant maksimalios rekomenduojamos ar toleruojamos insulino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monoterapijos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dozės.</w:t>
      </w:r>
    </w:p>
    <w:p w14:paraId="41B4894F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0ACC99" w14:textId="3EDAAB5A" w:rsidR="00021B47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10.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SGLT2 inhibitorius pagal 1 punktą, skirtas naudoti pagal </w:t>
      </w:r>
      <w:r w:rsidR="00CB3511" w:rsidRPr="003D3E46">
        <w:rPr>
          <w:rFonts w:ascii="Helvetica" w:hAnsi="Helvetica" w:cs="Arial"/>
          <w:sz w:val="20"/>
          <w:szCs w:val="24"/>
          <w:lang w:val="lt-LT"/>
        </w:rPr>
        <w:t>vieną arba daugiau iš 1 - 9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punktų, kur insulinas pasirinktas iš grupės, kurią sudaro įprastas insulinas, žmogaus insulinas, cinko insulinas ir insulino analogai.</w:t>
      </w:r>
    </w:p>
    <w:p w14:paraId="355FF252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581074" w14:textId="693181E0" w:rsidR="00021B47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11.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SGLT2 inhibitorius pagal 1 punktą, skirtas naudoti pagal </w:t>
      </w:r>
      <w:r w:rsidR="00CB3511" w:rsidRPr="003D3E46">
        <w:rPr>
          <w:rFonts w:ascii="Helvetica" w:hAnsi="Helvetica" w:cs="Arial"/>
          <w:sz w:val="20"/>
          <w:szCs w:val="24"/>
          <w:lang w:val="lt-LT"/>
        </w:rPr>
        <w:t>vieną arba daugiau iš 1 - 10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punktų, kur insulinas pasirinktas iš grupės, kurią sudaro:</w:t>
      </w:r>
    </w:p>
    <w:p w14:paraId="167C0A2F" w14:textId="77777777" w:rsidR="00021B47" w:rsidRPr="003D3E46" w:rsidRDefault="00021B47" w:rsidP="003D3E4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>greito veikimo insulinai;</w:t>
      </w:r>
    </w:p>
    <w:p w14:paraId="2F9F70F6" w14:textId="77777777" w:rsidR="00021B47" w:rsidRPr="003D3E46" w:rsidRDefault="00021B47" w:rsidP="003D3E4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>trumpo veikimo insulinai;</w:t>
      </w:r>
    </w:p>
    <w:p w14:paraId="12BD5693" w14:textId="77777777" w:rsidR="00021B47" w:rsidRPr="003D3E46" w:rsidRDefault="00021B47" w:rsidP="003D3E4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>vidutinio veikimo insulinai;</w:t>
      </w:r>
    </w:p>
    <w:p w14:paraId="5112D3BA" w14:textId="77777777" w:rsidR="00D94D17" w:rsidRPr="003D3E46" w:rsidRDefault="00021B47" w:rsidP="003D3E46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>ilgo veikimo insulinai;</w:t>
      </w:r>
    </w:p>
    <w:p w14:paraId="04AF0AA4" w14:textId="07C2A3CE" w:rsidR="00021B47" w:rsidRPr="003D3E46" w:rsidRDefault="00021B47" w:rsidP="003D3E4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>įskaitant jų mišinius.</w:t>
      </w:r>
    </w:p>
    <w:p w14:paraId="7A386E01" w14:textId="77777777" w:rsidR="003D3E46" w:rsidRPr="003D3E46" w:rsidRDefault="003D3E46" w:rsidP="003D3E4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A37E2C2" w14:textId="38397ECC" w:rsidR="00021B47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12.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SGLT2 inhibitorius pagal 1 punktą, skirtas naudoti pagal </w:t>
      </w:r>
      <w:r w:rsidR="00CB3511" w:rsidRPr="003D3E46">
        <w:rPr>
          <w:rFonts w:ascii="Helvetica" w:hAnsi="Helvetica" w:cs="Arial"/>
          <w:sz w:val="20"/>
          <w:szCs w:val="24"/>
          <w:lang w:val="lt-LT"/>
        </w:rPr>
        <w:t>vieną arba daugiau iš 1 - 11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punktų, kur insulinas pasirinktas iš grupės, kurią sudaro insulinas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glarginas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, insulinas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detemiras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, insulinas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degludekas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, insulinas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lispro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PEGilintas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CB3511" w:rsidRPr="003D3E46">
        <w:rPr>
          <w:rFonts w:ascii="Helvetica" w:hAnsi="Helvetica" w:cs="Arial"/>
          <w:sz w:val="20"/>
          <w:szCs w:val="24"/>
          <w:lang w:val="lt-LT"/>
        </w:rPr>
        <w:t>amidintas</w:t>
      </w:r>
      <w:proofErr w:type="spellEnd"/>
      <w:r w:rsidR="00CB3511" w:rsidRPr="003D3E46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insulinas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glarginas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>.</w:t>
      </w:r>
    </w:p>
    <w:p w14:paraId="1057635D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031A9F" w14:textId="581BA4C7" w:rsidR="00021B47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13.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SGLT2 inhibitorius pagal 1 punktą, skirtas naudoti pagal </w:t>
      </w:r>
      <w:r w:rsidR="00CB3511" w:rsidRPr="003D3E46">
        <w:rPr>
          <w:rFonts w:ascii="Helvetica" w:hAnsi="Helvetica" w:cs="Arial"/>
          <w:sz w:val="20"/>
          <w:szCs w:val="24"/>
          <w:lang w:val="lt-LT"/>
        </w:rPr>
        <w:t>vieną arba daugiau iš 1 - 12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punktų, kur insulinas yra bazinio insulino terapijos dalis.</w:t>
      </w:r>
    </w:p>
    <w:p w14:paraId="1CB57902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21200D" w14:textId="3236FC0B" w:rsidR="00021B47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14.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SGLT2 inhibitorius pagal 1 punktą, skirtas naudoti pagal </w:t>
      </w:r>
      <w:r w:rsidR="00CB3511" w:rsidRPr="003D3E46">
        <w:rPr>
          <w:rFonts w:ascii="Helvetica" w:hAnsi="Helvetica" w:cs="Arial"/>
          <w:sz w:val="20"/>
          <w:szCs w:val="24"/>
          <w:lang w:val="lt-LT"/>
        </w:rPr>
        <w:t>vieną arba daugiau iš 1 - 13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punktų, </w:t>
      </w:r>
      <w:r w:rsidR="00CB3511" w:rsidRPr="003D3E46">
        <w:rPr>
          <w:rFonts w:ascii="Helvetica" w:hAnsi="Helvetica" w:cs="Arial"/>
          <w:sz w:val="20"/>
          <w:szCs w:val="24"/>
          <w:lang w:val="lt-LT"/>
        </w:rPr>
        <w:t>b e s i s k i r i a</w:t>
      </w:r>
      <w:r w:rsidR="00CB3511" w:rsidRPr="003D3E46" w:rsidDel="002D753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B3511" w:rsidRPr="003D3E46">
        <w:rPr>
          <w:rFonts w:ascii="Helvetica" w:hAnsi="Helvetica" w:cs="Arial"/>
          <w:sz w:val="20"/>
          <w:szCs w:val="24"/>
          <w:lang w:val="lt-LT"/>
        </w:rPr>
        <w:t>n t i s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tuo, kad būdas yra pirmos, antros ar trečios eilės terapija arba pradinė ar papildoma </w:t>
      </w:r>
      <w:r w:rsidR="00424356" w:rsidRPr="003D3E46">
        <w:rPr>
          <w:rFonts w:ascii="Helvetica" w:hAnsi="Helvetica" w:cs="Arial"/>
          <w:sz w:val="20"/>
          <w:szCs w:val="24"/>
          <w:lang w:val="lt-LT"/>
        </w:rPr>
        <w:t xml:space="preserve">kompleksinė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terapija</w:t>
      </w:r>
      <w:r w:rsidR="00424356" w:rsidRPr="003D3E46">
        <w:rPr>
          <w:rFonts w:ascii="Helvetica" w:hAnsi="Helvetica" w:cs="Arial"/>
          <w:sz w:val="20"/>
          <w:szCs w:val="24"/>
          <w:lang w:val="lt-LT"/>
        </w:rPr>
        <w:t>,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ar</w:t>
      </w:r>
      <w:r w:rsidR="00424356" w:rsidRPr="003D3E46">
        <w:rPr>
          <w:rFonts w:ascii="Helvetica" w:hAnsi="Helvetica" w:cs="Arial"/>
          <w:sz w:val="20"/>
          <w:szCs w:val="24"/>
          <w:lang w:val="lt-LT"/>
        </w:rPr>
        <w:t>ba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pakaitinė terapija.</w:t>
      </w:r>
    </w:p>
    <w:p w14:paraId="294DF5AD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0D767D8" w14:textId="0D6AFB5A" w:rsidR="00021B47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15.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SGLT2 inhibitorius pagal 1 punktą, skirtas naudoti pagal </w:t>
      </w:r>
      <w:r w:rsidR="00424356" w:rsidRPr="003D3E46">
        <w:rPr>
          <w:rFonts w:ascii="Helvetica" w:hAnsi="Helvetica" w:cs="Arial"/>
          <w:sz w:val="20"/>
          <w:szCs w:val="24"/>
          <w:lang w:val="lt-LT"/>
        </w:rPr>
        <w:t>vieną arba daugiau iš 1 - 14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punktų, </w:t>
      </w:r>
      <w:r w:rsidR="00424356" w:rsidRPr="003D3E46">
        <w:rPr>
          <w:rFonts w:ascii="Helvetica" w:hAnsi="Helvetica" w:cs="Arial"/>
          <w:sz w:val="20"/>
          <w:szCs w:val="24"/>
          <w:lang w:val="lt-LT"/>
        </w:rPr>
        <w:t>apimantis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dar </w:t>
      </w:r>
      <w:r w:rsidR="00424356" w:rsidRPr="003D3E46">
        <w:rPr>
          <w:rFonts w:ascii="Helvetica" w:hAnsi="Helvetica" w:cs="Arial"/>
          <w:sz w:val="20"/>
          <w:szCs w:val="24"/>
          <w:lang w:val="lt-LT"/>
        </w:rPr>
        <w:t xml:space="preserve">vieną </w:t>
      </w:r>
      <w:proofErr w:type="spellStart"/>
      <w:r w:rsidR="00424356" w:rsidRPr="003D3E46">
        <w:rPr>
          <w:rFonts w:ascii="Helvetica" w:hAnsi="Helvetica" w:cs="Arial"/>
          <w:sz w:val="20"/>
          <w:szCs w:val="24"/>
          <w:lang w:val="lt-LT"/>
        </w:rPr>
        <w:t>priešdiabetinį</w:t>
      </w:r>
      <w:proofErr w:type="spellEnd"/>
      <w:r w:rsidR="00424356" w:rsidRPr="003D3E46">
        <w:rPr>
          <w:rFonts w:ascii="Helvetica" w:hAnsi="Helvetica" w:cs="Arial"/>
          <w:sz w:val="20"/>
          <w:szCs w:val="24"/>
          <w:lang w:val="lt-LT"/>
        </w:rPr>
        <w:t xml:space="preserve"> agentą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24356" w:rsidRPr="003D3E46">
        <w:rPr>
          <w:rFonts w:ascii="Helvetica" w:hAnsi="Helvetica" w:cs="Arial"/>
          <w:sz w:val="20"/>
          <w:szCs w:val="24"/>
          <w:lang w:val="lt-LT"/>
        </w:rPr>
        <w:t xml:space="preserve">pasirinktą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iš grupės, kurią sudaro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biguanidai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tiazolidindionai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sulfonilkarbamidai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glinidai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>, alfa-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gliukozidazės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inhibitoriai, GLP-1 analogai, DPP-4 inhibitoriai, pavyzdžiui,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linagliptinas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, ir </w:t>
      </w:r>
      <w:proofErr w:type="spellStart"/>
      <w:r w:rsidR="00021B47" w:rsidRPr="003D3E46">
        <w:rPr>
          <w:rFonts w:ascii="Helvetica" w:hAnsi="Helvetica" w:cs="Arial"/>
          <w:sz w:val="20"/>
          <w:szCs w:val="24"/>
          <w:lang w:val="lt-LT"/>
        </w:rPr>
        <w:t>amilino</w:t>
      </w:r>
      <w:proofErr w:type="spellEnd"/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analogai, įskaitant anksčiau minėtų </w:t>
      </w:r>
      <w:r w:rsidR="00424356" w:rsidRPr="003D3E46">
        <w:rPr>
          <w:rFonts w:ascii="Helvetica" w:hAnsi="Helvetica" w:cs="Arial"/>
          <w:sz w:val="20"/>
          <w:szCs w:val="24"/>
          <w:lang w:val="lt-LT"/>
        </w:rPr>
        <w:t xml:space="preserve">agentų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farmaciniu požiūriu priimtinas druskas.</w:t>
      </w:r>
    </w:p>
    <w:p w14:paraId="7D7BA1DA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2B78A23" w14:textId="3FEE5B2A" w:rsidR="00021B47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16.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SGLT2 inhibitorius pagal 1 punktą, skirtas naudoti pagal </w:t>
      </w:r>
      <w:r w:rsidR="00424356" w:rsidRPr="003D3E46">
        <w:rPr>
          <w:rFonts w:ascii="Helvetica" w:hAnsi="Helvetica" w:cs="Arial"/>
          <w:sz w:val="20"/>
          <w:szCs w:val="24"/>
          <w:lang w:val="lt-LT"/>
        </w:rPr>
        <w:t>vieną arba daugiau iš 1 - 15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 punktų, kur </w:t>
      </w:r>
      <w:r w:rsidR="00424356" w:rsidRPr="003D3E46">
        <w:rPr>
          <w:rFonts w:ascii="Helvetica" w:hAnsi="Helvetica" w:cs="Arial"/>
          <w:sz w:val="20"/>
          <w:szCs w:val="24"/>
          <w:lang w:val="lt-LT"/>
        </w:rPr>
        <w:t xml:space="preserve">farmacinė kompozicija apima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SGLT2 </w:t>
      </w:r>
      <w:r w:rsidR="00424356" w:rsidRPr="003D3E46">
        <w:rPr>
          <w:rFonts w:ascii="Helvetica" w:hAnsi="Helvetica" w:cs="Arial"/>
          <w:sz w:val="20"/>
          <w:szCs w:val="24"/>
          <w:lang w:val="lt-LT"/>
        </w:rPr>
        <w:t xml:space="preserve">inhibitorių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ir </w:t>
      </w:r>
      <w:r w:rsidR="00424356" w:rsidRPr="003D3E46">
        <w:rPr>
          <w:rFonts w:ascii="Helvetica" w:hAnsi="Helvetica" w:cs="Arial"/>
          <w:sz w:val="20"/>
          <w:szCs w:val="24"/>
          <w:lang w:val="lt-LT"/>
        </w:rPr>
        <w:t>insuliną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.</w:t>
      </w:r>
    </w:p>
    <w:p w14:paraId="2C9667B8" w14:textId="77777777" w:rsidR="003D3E46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3B0AD3" w14:textId="3F64ED73" w:rsidR="00021B47" w:rsidRPr="003D3E46" w:rsidRDefault="003D3E46" w:rsidP="003D3E4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D3E46">
        <w:rPr>
          <w:rFonts w:ascii="Helvetica" w:hAnsi="Helvetica" w:cs="Arial"/>
          <w:sz w:val="20"/>
          <w:szCs w:val="24"/>
          <w:lang w:val="lt-LT"/>
        </w:rPr>
        <w:t xml:space="preserve">17. 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 xml:space="preserve">SGLT2 inhibitorius pagal 1 punktą, skirtas naudoti pagal 16 punktą, kur farmacinė kompozicija yra tinkama </w:t>
      </w:r>
      <w:r w:rsidR="00424356" w:rsidRPr="003D3E46">
        <w:rPr>
          <w:rFonts w:ascii="Helvetica" w:hAnsi="Helvetica" w:cs="Arial"/>
          <w:sz w:val="20"/>
          <w:szCs w:val="24"/>
          <w:lang w:val="lt-LT"/>
        </w:rPr>
        <w:t>kompleksiniam</w:t>
      </w:r>
      <w:r w:rsidR="00021B47" w:rsidRPr="003D3E46">
        <w:rPr>
          <w:rFonts w:ascii="Helvetica" w:hAnsi="Helvetica" w:cs="Arial"/>
          <w:sz w:val="20"/>
          <w:szCs w:val="24"/>
          <w:lang w:val="lt-LT"/>
        </w:rPr>
        <w:t>, vienalaikiam arba nuosekliam SGLT2 inhibitoriaus ir insulino vartojimui.</w:t>
      </w:r>
    </w:p>
    <w:sectPr w:rsidR="00021B47" w:rsidRPr="003D3E46" w:rsidSect="003D3E46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58BB9" w14:textId="77777777" w:rsidR="00A56185" w:rsidRDefault="00A56185">
      <w:pPr>
        <w:spacing w:after="0" w:line="240" w:lineRule="auto"/>
      </w:pPr>
      <w:r>
        <w:separator/>
      </w:r>
    </w:p>
  </w:endnote>
  <w:endnote w:type="continuationSeparator" w:id="0">
    <w:p w14:paraId="3F57DC39" w14:textId="77777777" w:rsidR="00A56185" w:rsidRDefault="00A5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8F3F" w14:textId="77777777" w:rsidR="00A56185" w:rsidRDefault="00A56185">
      <w:pPr>
        <w:spacing w:after="0" w:line="240" w:lineRule="auto"/>
      </w:pPr>
      <w:r>
        <w:separator/>
      </w:r>
    </w:p>
  </w:footnote>
  <w:footnote w:type="continuationSeparator" w:id="0">
    <w:p w14:paraId="46506B7C" w14:textId="77777777" w:rsidR="00A56185" w:rsidRDefault="00A56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3A5"/>
    <w:multiLevelType w:val="multilevel"/>
    <w:tmpl w:val="01849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4275AD"/>
    <w:multiLevelType w:val="multilevel"/>
    <w:tmpl w:val="6F4E66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32989"/>
    <w:multiLevelType w:val="multilevel"/>
    <w:tmpl w:val="5DF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157766">
    <w:abstractNumId w:val="0"/>
  </w:num>
  <w:num w:numId="2" w16cid:durableId="929969573">
    <w:abstractNumId w:val="2"/>
  </w:num>
  <w:num w:numId="3" w16cid:durableId="110939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AB"/>
    <w:rsid w:val="000013A1"/>
    <w:rsid w:val="0001727C"/>
    <w:rsid w:val="00021B47"/>
    <w:rsid w:val="00021C97"/>
    <w:rsid w:val="00036627"/>
    <w:rsid w:val="0006237A"/>
    <w:rsid w:val="00067F2A"/>
    <w:rsid w:val="00097FE0"/>
    <w:rsid w:val="00103B82"/>
    <w:rsid w:val="0012283C"/>
    <w:rsid w:val="00132CEF"/>
    <w:rsid w:val="00146FF1"/>
    <w:rsid w:val="00186F7F"/>
    <w:rsid w:val="00196D32"/>
    <w:rsid w:val="001B75AB"/>
    <w:rsid w:val="00210166"/>
    <w:rsid w:val="00236DA0"/>
    <w:rsid w:val="00267D3F"/>
    <w:rsid w:val="00294EDA"/>
    <w:rsid w:val="002D7532"/>
    <w:rsid w:val="002F6F6B"/>
    <w:rsid w:val="00330778"/>
    <w:rsid w:val="00331AAB"/>
    <w:rsid w:val="0039084F"/>
    <w:rsid w:val="003A7413"/>
    <w:rsid w:val="003D3E46"/>
    <w:rsid w:val="00414F16"/>
    <w:rsid w:val="00424356"/>
    <w:rsid w:val="004432DA"/>
    <w:rsid w:val="004475BD"/>
    <w:rsid w:val="004E03FD"/>
    <w:rsid w:val="004E7B05"/>
    <w:rsid w:val="00507227"/>
    <w:rsid w:val="00543E13"/>
    <w:rsid w:val="00596828"/>
    <w:rsid w:val="005B575D"/>
    <w:rsid w:val="005F1A16"/>
    <w:rsid w:val="006441BF"/>
    <w:rsid w:val="00644F6C"/>
    <w:rsid w:val="00652B00"/>
    <w:rsid w:val="006703FD"/>
    <w:rsid w:val="0070575A"/>
    <w:rsid w:val="00914390"/>
    <w:rsid w:val="00941202"/>
    <w:rsid w:val="00944B16"/>
    <w:rsid w:val="00996A9C"/>
    <w:rsid w:val="009A1A00"/>
    <w:rsid w:val="009B7856"/>
    <w:rsid w:val="009F4CD0"/>
    <w:rsid w:val="00A12951"/>
    <w:rsid w:val="00A362C5"/>
    <w:rsid w:val="00A56185"/>
    <w:rsid w:val="00A877A7"/>
    <w:rsid w:val="00AE2093"/>
    <w:rsid w:val="00B03CE6"/>
    <w:rsid w:val="00B252DE"/>
    <w:rsid w:val="00C416AE"/>
    <w:rsid w:val="00C87E88"/>
    <w:rsid w:val="00CA658B"/>
    <w:rsid w:val="00CB1B66"/>
    <w:rsid w:val="00CB3511"/>
    <w:rsid w:val="00D33E8B"/>
    <w:rsid w:val="00D93695"/>
    <w:rsid w:val="00D94D17"/>
    <w:rsid w:val="00E24170"/>
    <w:rsid w:val="00EF632D"/>
    <w:rsid w:val="00F22E73"/>
    <w:rsid w:val="00F278F1"/>
    <w:rsid w:val="00F43A26"/>
    <w:rsid w:val="00F96CBB"/>
    <w:rsid w:val="00FA5D12"/>
    <w:rsid w:val="00F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88657"/>
  <w15:chartTrackingRefBased/>
  <w15:docId w15:val="{EDDCB732-D651-4759-9E74-3ADDEC7C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1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1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1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1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1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1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1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1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1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1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1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1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1A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1A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1A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1A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1A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1A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1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1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1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1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1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1A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1A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1A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1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1A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1AA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06237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237A"/>
  </w:style>
  <w:style w:type="paragraph" w:styleId="Porat">
    <w:name w:val="footer"/>
    <w:basedOn w:val="prastasis"/>
    <w:link w:val="PoratDiagrama"/>
    <w:uiPriority w:val="99"/>
    <w:unhideWhenUsed/>
    <w:rsid w:val="0006237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37A"/>
  </w:style>
  <w:style w:type="character" w:styleId="Eilutsnumeris">
    <w:name w:val="line number"/>
    <w:basedOn w:val="Numatytasispastraiposriftas"/>
    <w:uiPriority w:val="99"/>
    <w:semiHidden/>
    <w:unhideWhenUsed/>
    <w:rsid w:val="00A877A7"/>
  </w:style>
  <w:style w:type="paragraph" w:styleId="Pataisymai">
    <w:name w:val="Revision"/>
    <w:hidden/>
    <w:uiPriority w:val="99"/>
    <w:semiHidden/>
    <w:rsid w:val="001B75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2118-FB23-4636-815E-10641EA2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704</Words>
  <Characters>3950</Characters>
  <Application>Microsoft Office Word</Application>
  <DocSecurity>0</DocSecurity>
  <Lines>79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Adomaitytė</dc:creator>
  <cp:lastModifiedBy>Rasa Gurčytė</cp:lastModifiedBy>
  <cp:revision>8</cp:revision>
  <dcterms:created xsi:type="dcterms:W3CDTF">2024-12-19T11:21:00Z</dcterms:created>
  <dcterms:modified xsi:type="dcterms:W3CDTF">2024-12-30T15:38:00Z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2af9ee9fe12029740b3ae4e71ee568016f1ff84f0181935fd5b46a7c9bf8b18f</vt:lpwstr>
  </property>
</Properties>
</file>