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Baktericidinė priemonė augalams 4-(2,2-difluor-1,3-benzodioksol-7-il) - 1H- pirol-karbonitrilo ir 1-[2-/2-chlor-4-(chlorfenoksi)-fenil/-4-metil]-1,3- dioksolan-2-il-metil-1H-1,2,4-triazolo pagrindu kaip aktyvioji medžiaga, sukelianti sinergetinį padidintą poveikį kovojant su augalų ligomis. Baktericidinė priemonė tokių kombinacijų pagrindu tinkama augalinių kultūrų ir gamtinių produktų augalinės ir gyvulinės kilmės apdorojimui, o taip pat sėjamos medžiagos apdorojimui.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