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35CF" w14:textId="5AEBDD27" w:rsidR="00F64B66" w:rsidRPr="00A16139" w:rsidRDefault="00B70727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F64B66" w:rsidRPr="00A16139">
        <w:rPr>
          <w:rFonts w:ascii="Helvetica" w:hAnsi="Helvetica" w:cs="Helvetica"/>
          <w:sz w:val="20"/>
          <w:szCs w:val="24"/>
          <w:lang w:val="lt-LT"/>
        </w:rPr>
        <w:t xml:space="preserve">Monokloninis antikūnas arba antikūno fragmentas, kur antikūnas arba fragmentas 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>rišasi</w:t>
      </w:r>
      <w:r w:rsidR="00F64B66" w:rsidRPr="00A16139">
        <w:rPr>
          <w:rFonts w:ascii="Helvetica" w:hAnsi="Helvetica" w:cs="Helvetica"/>
          <w:sz w:val="20"/>
          <w:szCs w:val="24"/>
          <w:lang w:val="lt-LT"/>
        </w:rPr>
        <w:t xml:space="preserve"> prie adrenomedulino (ADM) srities, esančios N-galinėje dalyje, 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 xml:space="preserve">aminorūgštys 1-21 </w:t>
      </w:r>
      <w:bookmarkStart w:id="0" w:name="_Hlk126595810"/>
      <w:r w:rsidR="00EC2D58" w:rsidRPr="00A16139">
        <w:rPr>
          <w:rFonts w:ascii="Helvetica" w:hAnsi="Helvetica" w:cs="Helvetica"/>
          <w:sz w:val="20"/>
          <w:szCs w:val="24"/>
          <w:lang w:val="lt-LT"/>
        </w:rPr>
        <w:t>SEQ ID Nr. 23</w:t>
      </w:r>
      <w:bookmarkEnd w:id="0"/>
      <w:r w:rsidR="00F64B66" w:rsidRPr="00A16139">
        <w:rPr>
          <w:rFonts w:ascii="Helvetica" w:hAnsi="Helvetica" w:cs="Helvetica"/>
          <w:sz w:val="20"/>
          <w:szCs w:val="24"/>
          <w:lang w:val="lt-LT"/>
        </w:rPr>
        <w:t>, kur monokloninis antikūnas arba antikūno fragmentas yra žmogaus arba humanizuotas antikūnas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>,</w:t>
      </w:r>
      <w:r w:rsidR="00F64B66" w:rsidRPr="00A16139">
        <w:rPr>
          <w:rFonts w:ascii="Helvetica" w:hAnsi="Helvetica" w:cs="Helvetica"/>
          <w:sz w:val="20"/>
          <w:szCs w:val="24"/>
          <w:lang w:val="lt-LT"/>
        </w:rPr>
        <w:t xml:space="preserve"> ir kur sunkioji grandinė (H grandinė) apima sekas </w:t>
      </w:r>
    </w:p>
    <w:p w14:paraId="35FF1A33" w14:textId="4BC82DD9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SEQ ID N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>r.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1GYTFSRYW</w:t>
      </w:r>
    </w:p>
    <w:p w14:paraId="169CE5E1" w14:textId="3689588B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SEQ ID N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>r.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2ILPGSGST</w:t>
      </w:r>
    </w:p>
    <w:p w14:paraId="1C2BA9EE" w14:textId="65C04F78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SEQ ID N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>r.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3TEGYEYDGFDY</w:t>
      </w:r>
    </w:p>
    <w:p w14:paraId="5222C3FC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ir kur lengvoji grandinė apima sekas</w:t>
      </w:r>
    </w:p>
    <w:p w14:paraId="1AC5810D" w14:textId="35C76963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SEQ ID N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>r.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4QSIVYSNGNTY</w:t>
      </w:r>
    </w:p>
    <w:p w14:paraId="25F495C8" w14:textId="7E696F49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SEQ ID N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>r.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5RVS</w:t>
      </w:r>
    </w:p>
    <w:p w14:paraId="3322ED21" w14:textId="5CACA251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SEQ ID N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>r.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6FQGSHIPYT.</w:t>
      </w:r>
    </w:p>
    <w:p w14:paraId="75746B9D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16D93D9" w14:textId="18173A1F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2. Monokloninis antikūnas arba fragmentas pagal 1 punktą, kur antikūnas arba fragmentas yra pagaminti rekombina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>cijos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būdu.</w:t>
      </w:r>
    </w:p>
    <w:p w14:paraId="68D9A038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72B3284" w14:textId="2E99CEA2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3. Monokloninis antikūnas arba fragmentas pagal 2 punktą, kur antikūnas yra IgG.</w:t>
      </w:r>
    </w:p>
    <w:p w14:paraId="4DC4526C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B7CBD6D" w14:textId="59EAD7BB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4. Monokloninis antikūnas arba fragmentas pagal 1 punktą, kur fragmentas yra Fv fragmentas, scFv fragmentas, Fab fragmentas, scFab fragmentas, F(ab)2 fragmentas arba scFv-Fc sulietas baltymas.</w:t>
      </w:r>
    </w:p>
    <w:p w14:paraId="715FFFE1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3C26A6E" w14:textId="2F7E0583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5. Monokloninis antikūnas arba fragmentas pagal bet kurį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iš ankstesnių punktų, kur antikūnas arba fragmentas yra žmogaus antikūnas.</w:t>
      </w:r>
    </w:p>
    <w:p w14:paraId="5755933D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F29DCD5" w14:textId="607BB507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6. Monokloninis antikūnas arba fragmentas pagal bet kurį iš 1-4 punktų, kur antikūnas arba fragmentas yra humanizuotas antikūnas.</w:t>
      </w:r>
    </w:p>
    <w:p w14:paraId="23CE4115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D688FC6" w14:textId="10A63BB9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7. Monokloninis antikūnas arba fragmentas pagal 6 punktą, kur antikūnas arba fragmentas yra pagaminti humanizuojant pelių antikūną, pvz., </w:t>
      </w:r>
      <w:r w:rsidR="00EC2D58" w:rsidRPr="00A16139">
        <w:rPr>
          <w:rFonts w:ascii="Helvetica" w:hAnsi="Helvetica" w:cs="Helvetica"/>
          <w:sz w:val="20"/>
          <w:szCs w:val="24"/>
          <w:lang w:val="lt-LT"/>
        </w:rPr>
        <w:t>į</w:t>
      </w:r>
      <w:r w:rsidRPr="00A16139">
        <w:rPr>
          <w:rFonts w:ascii="Helvetica" w:hAnsi="Helvetica" w:cs="Helvetica"/>
          <w:sz w:val="20"/>
          <w:szCs w:val="24"/>
          <w:lang w:val="lt-LT"/>
        </w:rPr>
        <w:t>skiepijant pelių CDR į žmogaus antikūną arba fragmentą.</w:t>
      </w:r>
    </w:p>
    <w:p w14:paraId="105BB468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ECEE129" w14:textId="17D30449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8. Monokloninis antikūnas arba fragmentas pagal 7 punktą, kur humaniza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>vimo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procesas apima:</w:t>
      </w:r>
    </w:p>
    <w:p w14:paraId="51A0B73D" w14:textId="71F6F81A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a. 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>p</w:t>
      </w:r>
      <w:r w:rsidRPr="00A16139">
        <w:rPr>
          <w:rFonts w:ascii="Helvetica" w:hAnsi="Helvetica" w:cs="Helvetica"/>
          <w:sz w:val="20"/>
          <w:szCs w:val="24"/>
          <w:lang w:val="lt-LT"/>
        </w:rPr>
        <w:t>elės antikūno sekos analizavim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 xml:space="preserve">ą, </w:t>
      </w:r>
      <w:r w:rsidRPr="00A16139">
        <w:rPr>
          <w:rFonts w:ascii="Helvetica" w:hAnsi="Helvetica" w:cs="Helvetica"/>
          <w:sz w:val="20"/>
          <w:szCs w:val="24"/>
          <w:lang w:val="lt-LT"/>
        </w:rPr>
        <w:t>nustat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>ant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karkaso 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>sričių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(FR) struktūrinę sąveiką su komplementar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>umą lemiančiomis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sritimis (CDR) ir antigenu;</w:t>
      </w:r>
    </w:p>
    <w:p w14:paraId="1DA274BB" w14:textId="7C73BEC6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b. 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>t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inkamo 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 xml:space="preserve">iš 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žmogaus 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>kilusio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FR parinkim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>ą,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remiantis struktūriniu modeliavimu; ir</w:t>
      </w:r>
    </w:p>
    <w:p w14:paraId="7C64EE0A" w14:textId="45CAC264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c. 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>p</w:t>
      </w:r>
      <w:r w:rsidRPr="00A16139">
        <w:rPr>
          <w:rFonts w:ascii="Helvetica" w:hAnsi="Helvetica" w:cs="Helvetica"/>
          <w:sz w:val="20"/>
          <w:szCs w:val="24"/>
          <w:lang w:val="lt-LT"/>
        </w:rPr>
        <w:t>elės CDR sekų per</w:t>
      </w:r>
      <w:r w:rsidR="00EF3487" w:rsidRPr="00A16139">
        <w:rPr>
          <w:rFonts w:ascii="Helvetica" w:hAnsi="Helvetica" w:cs="Helvetica"/>
          <w:sz w:val="20"/>
          <w:szCs w:val="24"/>
          <w:lang w:val="lt-LT"/>
        </w:rPr>
        <w:t>kėlimas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į žmogaus FR.</w:t>
      </w:r>
    </w:p>
    <w:p w14:paraId="608CD97C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6D823AA" w14:textId="1945F93E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9. Monokloninis antikūnas arba fragmentas pagal bet kurį</w:t>
      </w:r>
      <w:r w:rsidR="0053081A" w:rsidRPr="00A16139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iš ankstesnių punktų, kur antikūnas arba fragmentas yra stabilizuojantis antikūnas arba fragmentas, kuris padidina ADM pusinės eliminacijos periodą serume, kraujyje, plazmoje mažiausiai 10%, </w:t>
      </w:r>
      <w:r w:rsidR="0053081A" w:rsidRPr="00A16139">
        <w:rPr>
          <w:rFonts w:ascii="Helvetica" w:hAnsi="Helvetica" w:cs="Helvetica"/>
          <w:sz w:val="20"/>
          <w:szCs w:val="24"/>
          <w:lang w:val="lt-LT"/>
        </w:rPr>
        <w:t>pageidautina,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mažiausiai 50%</w:t>
      </w:r>
      <w:r w:rsidR="0053081A" w:rsidRPr="00A16139">
        <w:rPr>
          <w:rFonts w:ascii="Helvetica" w:hAnsi="Helvetica" w:cs="Helvetica"/>
          <w:sz w:val="20"/>
          <w:szCs w:val="24"/>
          <w:lang w:val="lt-LT"/>
        </w:rPr>
        <w:t>, labiau pageidautina,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&gt;50%, </w:t>
      </w:r>
      <w:r w:rsidR="0053081A" w:rsidRPr="00A16139">
        <w:rPr>
          <w:rFonts w:ascii="Helvetica" w:hAnsi="Helvetica" w:cs="Helvetica"/>
          <w:sz w:val="20"/>
          <w:szCs w:val="24"/>
          <w:lang w:val="lt-LT"/>
        </w:rPr>
        <w:t>labiausiai pageidautina,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&gt;100%.</w:t>
      </w:r>
    </w:p>
    <w:p w14:paraId="66CEEF1B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51D99CA" w14:textId="7F3F1D79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10. Monokloninis antikūnas arba fragmentas pagal bet kurį </w:t>
      </w:r>
      <w:r w:rsidR="0053081A" w:rsidRPr="00A16139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iš ankstesnių punktų, kur antikūnas arba fragmentas </w:t>
      </w:r>
      <w:r w:rsidR="0053081A" w:rsidRPr="00A16139">
        <w:rPr>
          <w:rFonts w:ascii="Helvetica" w:hAnsi="Helvetica" w:cs="Helvetica"/>
          <w:sz w:val="20"/>
          <w:szCs w:val="24"/>
          <w:lang w:val="lt-LT"/>
        </w:rPr>
        <w:t xml:space="preserve">nėra </w:t>
      </w:r>
      <w:r w:rsidRPr="00A16139">
        <w:rPr>
          <w:rFonts w:ascii="Helvetica" w:hAnsi="Helvetica" w:cs="Helvetica"/>
          <w:sz w:val="20"/>
          <w:szCs w:val="24"/>
          <w:lang w:val="lt-LT"/>
        </w:rPr>
        <w:t>neutralizuojantis antikūnas arba fragmentas.</w:t>
      </w:r>
    </w:p>
    <w:p w14:paraId="5C41F01B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AB31A7C" w14:textId="0DCCD2BF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lastRenderedPageBreak/>
        <w:t xml:space="preserve">11. Monokloninis antikūnas arba fragmentas pagal bet kurį </w:t>
      </w:r>
      <w:r w:rsidR="0053081A" w:rsidRPr="00A16139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A16139">
        <w:rPr>
          <w:rFonts w:ascii="Helvetica" w:hAnsi="Helvetica" w:cs="Helvetica"/>
          <w:sz w:val="20"/>
          <w:szCs w:val="24"/>
          <w:lang w:val="lt-LT"/>
        </w:rPr>
        <w:t>iš ankstesnių punktų, kur antikūnas arba fragmentas blokuoja ADM biologinį aktyvumą iki maž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iau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n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gu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80%,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pageidautina,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mažiau ne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gu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50%, kai nustatomas ADM biologinis aktyvumas žmogaus rekombinantinio adrenomedulino receptoriaus cAMP funkciniame tyrime pagal 2 pavyzdį.</w:t>
      </w:r>
    </w:p>
    <w:p w14:paraId="552E91B7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B5D385D" w14:textId="3DF6E02E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12. Monokloninis antikūnas arba fragmentas pagal bet kurį </w:t>
      </w:r>
      <w:r w:rsidR="0053081A" w:rsidRPr="00A16139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iš ankstesnių punktų, kur antikūnas arba fragmentas turi tokį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giminingumą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žmogaus ADM, kad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giminingumo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konstanta yra didesnė ne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gu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10</w:t>
      </w:r>
      <w:r w:rsidRPr="00A16139">
        <w:rPr>
          <w:rFonts w:ascii="Helvetica" w:hAnsi="Helvetica" w:cs="Helvetica"/>
          <w:sz w:val="20"/>
          <w:szCs w:val="24"/>
          <w:vertAlign w:val="superscript"/>
          <w:lang w:val="lt-LT"/>
        </w:rPr>
        <w:t>-7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M, kur minėtas surišimo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giminingumas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yra nustatytas pagal 1 pavyzdį.</w:t>
      </w:r>
    </w:p>
    <w:p w14:paraId="3346A898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DB95B99" w14:textId="7CE052F1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13. Monokloninis antikūnas arba fragmentas pagal bet kurį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iš ankstesnių punktų, skirti panaudoti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 xml:space="preserve">taikant </w:t>
      </w:r>
      <w:r w:rsidRPr="00A16139">
        <w:rPr>
          <w:rFonts w:ascii="Helvetica" w:hAnsi="Helvetica" w:cs="Helvetica"/>
          <w:sz w:val="20"/>
          <w:szCs w:val="24"/>
          <w:lang w:val="lt-LT"/>
        </w:rPr>
        <w:t>gydymo būd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ą</w:t>
      </w:r>
      <w:r w:rsidRPr="00A16139">
        <w:rPr>
          <w:rFonts w:ascii="Helvetica" w:hAnsi="Helvetica" w:cs="Helvetica"/>
          <w:sz w:val="20"/>
          <w:szCs w:val="24"/>
          <w:lang w:val="lt-LT"/>
        </w:rPr>
        <w:t>, apiman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tį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mirtingumo rizikos mažinimą lėtinės arba ūmi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nė</w:t>
      </w:r>
      <w:r w:rsidRPr="00A16139">
        <w:rPr>
          <w:rFonts w:ascii="Helvetica" w:hAnsi="Helvetica" w:cs="Helvetica"/>
          <w:sz w:val="20"/>
          <w:szCs w:val="24"/>
          <w:lang w:val="lt-LT"/>
        </w:rPr>
        <w:t>s ligos arba ūmi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nė</w:t>
      </w:r>
      <w:r w:rsidRPr="00A16139">
        <w:rPr>
          <w:rFonts w:ascii="Helvetica" w:hAnsi="Helvetica" w:cs="Helvetica"/>
          <w:sz w:val="20"/>
          <w:szCs w:val="24"/>
          <w:lang w:val="lt-LT"/>
        </w:rPr>
        <w:t>s būklės metu.</w:t>
      </w:r>
    </w:p>
    <w:p w14:paraId="3F7BF4F5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6482719" w14:textId="5F2CC1EC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>14. Monokloninis antikūnas arba fragmentas, skirtas panaudoti pagal 13 punktą, kur lėtinė arba ūmi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nė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liga arba ūmi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nė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būklė yra pa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si</w:t>
      </w:r>
      <w:r w:rsidRPr="00A16139">
        <w:rPr>
          <w:rFonts w:ascii="Helvetica" w:hAnsi="Helvetica" w:cs="Helvetica"/>
          <w:sz w:val="20"/>
          <w:szCs w:val="24"/>
          <w:lang w:val="lt-LT"/>
        </w:rPr>
        <w:t>rinkta iš sunkios infekcijos, pvz.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,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meningit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;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s</w:t>
      </w:r>
      <w:r w:rsidRPr="00A16139">
        <w:rPr>
          <w:rFonts w:ascii="Helvetica" w:hAnsi="Helvetica" w:cs="Helvetica"/>
          <w:sz w:val="20"/>
          <w:szCs w:val="24"/>
          <w:lang w:val="lt-LT"/>
        </w:rPr>
        <w:t>istemini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uždegiminio atsako sindrom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(SIRS); sepsi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>; diabet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>; vėž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io</w:t>
      </w:r>
      <w:r w:rsidRPr="00A16139">
        <w:rPr>
          <w:rFonts w:ascii="Helvetica" w:hAnsi="Helvetica" w:cs="Helvetica"/>
          <w:sz w:val="20"/>
          <w:szCs w:val="24"/>
          <w:lang w:val="lt-LT"/>
        </w:rPr>
        <w:t>; ūminės ir lėtinės kraujagyslių ligos, pvz.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,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širdies nepakankamum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>, miokardo infarkt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>, insult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>, aterosklerozė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s</w:t>
      </w:r>
      <w:r w:rsidRPr="00A16139">
        <w:rPr>
          <w:rFonts w:ascii="Helvetica" w:hAnsi="Helvetica" w:cs="Helvetica"/>
          <w:sz w:val="20"/>
          <w:szCs w:val="24"/>
          <w:lang w:val="lt-LT"/>
        </w:rPr>
        <w:t>; šok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>, pvz.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,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septini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šok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>; organų funkcijos sutrikim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>, pvz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,</w:t>
      </w:r>
      <w:r w:rsidRPr="00A16139">
        <w:rPr>
          <w:rFonts w:ascii="Helvetica" w:hAnsi="Helvetica" w:cs="Helvetica"/>
          <w:sz w:val="20"/>
          <w:szCs w:val="24"/>
          <w:lang w:val="lt-LT"/>
        </w:rPr>
        <w:t>. inkstų funkcijos sutrikim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>, kepenų funkcijos sutrikim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>; nudegim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ų</w:t>
      </w:r>
      <w:r w:rsidRPr="00A16139">
        <w:rPr>
          <w:rFonts w:ascii="Helvetica" w:hAnsi="Helvetica" w:cs="Helvetica"/>
          <w:sz w:val="20"/>
          <w:szCs w:val="24"/>
          <w:lang w:val="lt-LT"/>
        </w:rPr>
        <w:t>; chirurgij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os</w:t>
      </w:r>
      <w:r w:rsidRPr="00A16139">
        <w:rPr>
          <w:rFonts w:ascii="Helvetica" w:hAnsi="Helvetica" w:cs="Helvetica"/>
          <w:sz w:val="20"/>
          <w:szCs w:val="24"/>
          <w:lang w:val="lt-LT"/>
        </w:rPr>
        <w:t>; traumos; apsinuodijim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o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; ir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pažaidos, atsiradusios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dėl chemoterapijos.</w:t>
      </w:r>
    </w:p>
    <w:p w14:paraId="4A584B55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C75291F" w14:textId="4C3C339C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15. Farmacinė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vaisto forma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, apimanti monokloninį antikūną arba fragmentą pagal bet kurį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A16139">
        <w:rPr>
          <w:rFonts w:ascii="Helvetica" w:hAnsi="Helvetica" w:cs="Helvetica"/>
          <w:sz w:val="20"/>
          <w:szCs w:val="24"/>
          <w:lang w:val="lt-LT"/>
        </w:rPr>
        <w:t>iš 1-12 punktų.</w:t>
      </w:r>
    </w:p>
    <w:p w14:paraId="0A8B21E8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9B59675" w14:textId="5B8C2917" w:rsidR="00F64B66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16. Farmacinė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vaisto forma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pagal 15 punktą, kur farmacinė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vaisto forma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yra skirta įvedimui infuzijos būdu.</w:t>
      </w:r>
    </w:p>
    <w:p w14:paraId="239896FA" w14:textId="77777777" w:rsidR="00F64B66" w:rsidRPr="00A16139" w:rsidRDefault="00F64B66" w:rsidP="00A1613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D751AA7" w14:textId="3F70B0D2" w:rsidR="00EB6F08" w:rsidRPr="00A16139" w:rsidRDefault="00F64B66" w:rsidP="00A1613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16139">
        <w:rPr>
          <w:rFonts w:ascii="Helvetica" w:hAnsi="Helvetica" w:cs="Helvetica"/>
          <w:sz w:val="20"/>
          <w:szCs w:val="24"/>
          <w:lang w:val="lt-LT"/>
        </w:rPr>
        <w:t xml:space="preserve">17. Farmacinė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vaisto forma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pagal 15 arba 16 punktą, kur farmacinė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vaisto forma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sausoa būsenos tam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, kad būtų </w:t>
      </w:r>
      <w:r w:rsidR="0031702B" w:rsidRPr="00A16139">
        <w:rPr>
          <w:rFonts w:ascii="Helvetica" w:hAnsi="Helvetica" w:cs="Helvetica"/>
          <w:sz w:val="20"/>
          <w:szCs w:val="24"/>
          <w:lang w:val="lt-LT"/>
        </w:rPr>
        <w:t>resuspenduota</w:t>
      </w:r>
      <w:r w:rsidRPr="00A16139">
        <w:rPr>
          <w:rFonts w:ascii="Helvetica" w:hAnsi="Helvetica" w:cs="Helvetica"/>
          <w:sz w:val="20"/>
          <w:szCs w:val="24"/>
          <w:lang w:val="lt-LT"/>
        </w:rPr>
        <w:t xml:space="preserve"> prieš naudojimą.</w:t>
      </w:r>
    </w:p>
    <w:sectPr w:rsidR="00EB6F08" w:rsidRPr="00A16139" w:rsidSect="00A1613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9156" w14:textId="77777777" w:rsidR="00A443FD" w:rsidRDefault="00A443FD" w:rsidP="007B0A41">
      <w:pPr>
        <w:spacing w:after="0" w:line="240" w:lineRule="auto"/>
      </w:pPr>
      <w:r>
        <w:separator/>
      </w:r>
    </w:p>
  </w:endnote>
  <w:endnote w:type="continuationSeparator" w:id="0">
    <w:p w14:paraId="7EA19F85" w14:textId="77777777" w:rsidR="00A443FD" w:rsidRDefault="00A443F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117E" w14:textId="77777777" w:rsidR="00A443FD" w:rsidRDefault="00A443FD" w:rsidP="007B0A41">
      <w:pPr>
        <w:spacing w:after="0" w:line="240" w:lineRule="auto"/>
      </w:pPr>
      <w:r>
        <w:separator/>
      </w:r>
    </w:p>
  </w:footnote>
  <w:footnote w:type="continuationSeparator" w:id="0">
    <w:p w14:paraId="47887C92" w14:textId="77777777" w:rsidR="00A443FD" w:rsidRDefault="00A443F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A156E"/>
    <w:rsid w:val="000D0403"/>
    <w:rsid w:val="000F1D6A"/>
    <w:rsid w:val="0010750B"/>
    <w:rsid w:val="00120AC9"/>
    <w:rsid w:val="001308ED"/>
    <w:rsid w:val="001668DF"/>
    <w:rsid w:val="00192F10"/>
    <w:rsid w:val="001A3E8E"/>
    <w:rsid w:val="001C33D1"/>
    <w:rsid w:val="001F266E"/>
    <w:rsid w:val="00223910"/>
    <w:rsid w:val="00234E11"/>
    <w:rsid w:val="00260D4E"/>
    <w:rsid w:val="00262076"/>
    <w:rsid w:val="002837FC"/>
    <w:rsid w:val="002B66D9"/>
    <w:rsid w:val="002E0F37"/>
    <w:rsid w:val="00316FB7"/>
    <w:rsid w:val="0031702B"/>
    <w:rsid w:val="003700E9"/>
    <w:rsid w:val="00370A78"/>
    <w:rsid w:val="00372A7E"/>
    <w:rsid w:val="003A0D71"/>
    <w:rsid w:val="003D4001"/>
    <w:rsid w:val="003E51FF"/>
    <w:rsid w:val="00412B35"/>
    <w:rsid w:val="00416928"/>
    <w:rsid w:val="00422E79"/>
    <w:rsid w:val="00431822"/>
    <w:rsid w:val="004A11D8"/>
    <w:rsid w:val="004C1469"/>
    <w:rsid w:val="004E61AA"/>
    <w:rsid w:val="00500B25"/>
    <w:rsid w:val="0053081A"/>
    <w:rsid w:val="0053198F"/>
    <w:rsid w:val="005324BA"/>
    <w:rsid w:val="00560B7D"/>
    <w:rsid w:val="00564911"/>
    <w:rsid w:val="0059478E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61867"/>
    <w:rsid w:val="007626D3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577DB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16139"/>
    <w:rsid w:val="00A22BBD"/>
    <w:rsid w:val="00A4282B"/>
    <w:rsid w:val="00A443FD"/>
    <w:rsid w:val="00A51B6C"/>
    <w:rsid w:val="00A534B9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220FE"/>
    <w:rsid w:val="00C2766E"/>
    <w:rsid w:val="00C30968"/>
    <w:rsid w:val="00C72847"/>
    <w:rsid w:val="00C73E71"/>
    <w:rsid w:val="00C86DA9"/>
    <w:rsid w:val="00C91715"/>
    <w:rsid w:val="00CE42D1"/>
    <w:rsid w:val="00CF0DCB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6F08"/>
    <w:rsid w:val="00EC2D58"/>
    <w:rsid w:val="00ED04B0"/>
    <w:rsid w:val="00EF3487"/>
    <w:rsid w:val="00F01CE8"/>
    <w:rsid w:val="00F37F4D"/>
    <w:rsid w:val="00F5330D"/>
    <w:rsid w:val="00F577D6"/>
    <w:rsid w:val="00F64B6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3458</Characters>
  <Application>Microsoft Office Word</Application>
  <DocSecurity>0</DocSecurity>
  <Lines>76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2023-02-13T14:38:00Z</dcterms:created>
  <dcterms:modified xsi:type="dcterms:W3CDTF">2023-02-13T14:38:00Z</dcterms:modified>
</cp:coreProperties>
</file>