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1. Vožtuvo atstatymo įrenginys (500), skirtas paciento įgimtam vožtuvui atstatyti, vožtuvo atstatymo įrenginys apimantis:</w:t>
      </w:r>
    </w:p>
    <w:p w:rsidR="00863AEF" w:rsidRPr="00DC27F1" w:rsidRDefault="00863AEF" w:rsidP="00DC27F1">
      <w:pPr>
        <w:spacing w:line="360" w:lineRule="auto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mentelės rėmelį (524);</w:t>
      </w:r>
    </w:p>
    <w:p w:rsidR="00863AEF" w:rsidRPr="00DC27F1" w:rsidRDefault="00863AEF" w:rsidP="00DC27F1">
      <w:pPr>
        <w:spacing w:line="360" w:lineRule="auto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 xml:space="preserve">vidinę mentelę (522); ir </w:t>
      </w:r>
    </w:p>
    <w:p w:rsidR="00863AEF" w:rsidRPr="00DC27F1" w:rsidRDefault="00863AEF" w:rsidP="00DC27F1">
      <w:pPr>
        <w:spacing w:line="360" w:lineRule="auto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išorinę mentelę (520), prijungtą prie vidinės mentelės (522) taip, kad vidinė ir išorinė mentelės</w:t>
      </w:r>
      <w:r w:rsidR="00DC27F1" w:rsidRPr="00DC27F1">
        <w:rPr>
          <w:rFonts w:ascii="Helvetica" w:hAnsi="Helvetica"/>
          <w:szCs w:val="24"/>
        </w:rPr>
        <w:t xml:space="preserve"> </w:t>
      </w:r>
      <w:r w:rsidRPr="00DC27F1">
        <w:rPr>
          <w:rFonts w:ascii="Helvetica" w:hAnsi="Helvetica"/>
          <w:szCs w:val="24"/>
        </w:rPr>
        <w:t>(522, 520) yra prijungtos prie mentelės rėmelio (524) jungties (523) tarp vidinės mentelės (522) ir išorinės mentelės (520).</w:t>
      </w:r>
    </w:p>
    <w:p w:rsidR="00DC27F1" w:rsidRPr="00DC27F1" w:rsidRDefault="00DC27F1" w:rsidP="00DC27F1">
      <w:pPr>
        <w:spacing w:line="360" w:lineRule="auto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2. Vožtuvo atstatymo įrenginys pagal 1 punktą, kur mentelės rėmelis (524) yra platesnis už vidinę mentelę (522) ir(arba) mentelės rėmelis (524) yra platesnis už išorinę mentelę (520).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3. Vožtuvo atstatymo įrenginys pagal 1 arba 2 punktą, kur vidinė mentelė (522) ir išorinė mentelė (520) pagamintos iš audinio.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EF0162" w:rsidRDefault="00863AEF" w:rsidP="00EF0162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4. Vožtuvo atstatymo įrenginys pagal 3 punktą, kur audinys apima kartu supintas metalines sruogas.</w:t>
      </w:r>
      <w:r w:rsidR="00EF0162">
        <w:rPr>
          <w:rFonts w:ascii="Helvetica" w:hAnsi="Helvetica"/>
          <w:szCs w:val="24"/>
        </w:rPr>
        <w:t xml:space="preserve"> </w:t>
      </w:r>
    </w:p>
    <w:p w:rsidR="00EF0162" w:rsidRDefault="00EF0162" w:rsidP="00EF0162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EF0162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5. Vožtuvo atstatymo įrenginys pagal 3 arba 4 punktą, kur audinys apima elektroverpuotą medžiagą</w:t>
      </w:r>
      <w:r w:rsidR="00EF0162">
        <w:rPr>
          <w:rFonts w:ascii="Helvetica" w:hAnsi="Helvetica"/>
          <w:szCs w:val="24"/>
        </w:rPr>
        <w:t>.</w:t>
      </w:r>
      <w:bookmarkStart w:id="0" w:name="_GoBack"/>
      <w:bookmarkEnd w:id="0"/>
    </w:p>
    <w:p w:rsidR="00DC27F1" w:rsidRPr="00DC27F1" w:rsidRDefault="00DC27F1" w:rsidP="00DC27F1">
      <w:pPr>
        <w:spacing w:line="360" w:lineRule="auto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6. Vožtuvo atstatymo įrenginys pagal bet kurį iš 1-5 punktų, kur mentelės rėmelis (524) turi apvalią trimači</w:t>
      </w:r>
      <w:r w:rsidR="00DC27F1" w:rsidRPr="00DC27F1">
        <w:rPr>
          <w:rFonts w:ascii="Helvetica" w:hAnsi="Helvetica"/>
          <w:szCs w:val="24"/>
        </w:rPr>
        <w:t>ą</w:t>
      </w:r>
      <w:r w:rsidRPr="00DC27F1">
        <w:rPr>
          <w:rFonts w:ascii="Helvetica" w:hAnsi="Helvetica"/>
          <w:szCs w:val="24"/>
        </w:rPr>
        <w:t xml:space="preserve"> formą.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7. Vožtuvo atstatymo įrenginys pagal bet kurį iš 1-6 punktų, kur vidinės mentelės (522) jungiamoji dalis gali judėti toliau nuo išorinės mentelės (520) jungiamosios dalies, atidarant vidinę ir išorinę menteles (522, 520).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8. Vožtuvo atstatymo įrenginys pagal 7 punktą, kur, traukiant išorinės mentelės (520) jungiamąją dalį ir mentelės rėmelio (524) jungiamąją dalį (528) tolyn nuo vidinės mentelės (522) jungiamosios dalies, lenkia mentelės rėmelį (524) į išorę, atidarant vidinę ir išorinę menteles (522, 520).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9. Vožtuvo atstatymo įrenginys pagal bet kurį iš 1-8 punktų, kur vidinė mentelė (522) lanksčia jungtimi (523) yra prijungta prie išorinės mentelės (520).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10. Vožtuvo atstatymo įrenginys pagal bet kurį iš 7-9 punktų, kur mentelės rėmelis (524) yra prijungtas prie lanksčios jungties (523).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863AEF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11. Vožtuvo atstatymo įrenginys pagal bet kurį iš 1-10 punktų, kur vidinė mentelė (522) ir išorinė mentelė (520) yra suformuotos integraliai.</w:t>
      </w:r>
    </w:p>
    <w:p w:rsidR="00DC27F1" w:rsidRPr="00DC27F1" w:rsidRDefault="00DC27F1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:rsidR="0018473C" w:rsidRPr="00DC27F1" w:rsidRDefault="00863AEF" w:rsidP="00DC27F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DC27F1">
        <w:rPr>
          <w:rFonts w:ascii="Helvetica" w:hAnsi="Helvetica"/>
          <w:szCs w:val="24"/>
        </w:rPr>
        <w:t>12. Vožtuvo atstatymo įrenginys pagal bet kurį iš 7-11 punktų, kur vidinė mentelė (522) ir išorinė mentelė (520) yra pagamintos iš lanksčios tinklinės medžiagos.</w:t>
      </w:r>
    </w:p>
    <w:sectPr w:rsidR="0018473C" w:rsidRPr="00DC27F1" w:rsidSect="00DC27F1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40" w:rsidRDefault="00435040" w:rsidP="00DC27F1">
      <w:r>
        <w:separator/>
      </w:r>
    </w:p>
  </w:endnote>
  <w:endnote w:type="continuationSeparator" w:id="0">
    <w:p w:rsidR="00435040" w:rsidRDefault="00435040" w:rsidP="00DC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40" w:rsidRDefault="00435040" w:rsidP="00DC27F1">
      <w:r>
        <w:separator/>
      </w:r>
    </w:p>
  </w:footnote>
  <w:footnote w:type="continuationSeparator" w:id="0">
    <w:p w:rsidR="00435040" w:rsidRDefault="00435040" w:rsidP="00DC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EF"/>
    <w:rsid w:val="0000726D"/>
    <w:rsid w:val="0001453C"/>
    <w:rsid w:val="00026117"/>
    <w:rsid w:val="0003391F"/>
    <w:rsid w:val="00037188"/>
    <w:rsid w:val="000400F7"/>
    <w:rsid w:val="0005384F"/>
    <w:rsid w:val="000657CC"/>
    <w:rsid w:val="0007652B"/>
    <w:rsid w:val="00091494"/>
    <w:rsid w:val="0009499B"/>
    <w:rsid w:val="000A7B61"/>
    <w:rsid w:val="000F0B16"/>
    <w:rsid w:val="00100598"/>
    <w:rsid w:val="001029EE"/>
    <w:rsid w:val="00102F63"/>
    <w:rsid w:val="00113154"/>
    <w:rsid w:val="001275F5"/>
    <w:rsid w:val="001340E0"/>
    <w:rsid w:val="001406FE"/>
    <w:rsid w:val="00142022"/>
    <w:rsid w:val="0015035B"/>
    <w:rsid w:val="00161ACA"/>
    <w:rsid w:val="00163F97"/>
    <w:rsid w:val="001817FD"/>
    <w:rsid w:val="0018473C"/>
    <w:rsid w:val="001A2933"/>
    <w:rsid w:val="001A66DC"/>
    <w:rsid w:val="001B6F0C"/>
    <w:rsid w:val="001C21FE"/>
    <w:rsid w:val="001D55F6"/>
    <w:rsid w:val="002017EB"/>
    <w:rsid w:val="00220F37"/>
    <w:rsid w:val="00233A2D"/>
    <w:rsid w:val="00241BD6"/>
    <w:rsid w:val="00276E95"/>
    <w:rsid w:val="0028658E"/>
    <w:rsid w:val="002C447F"/>
    <w:rsid w:val="002D0487"/>
    <w:rsid w:val="002D2F3D"/>
    <w:rsid w:val="002E5FB3"/>
    <w:rsid w:val="002E67E0"/>
    <w:rsid w:val="002F3283"/>
    <w:rsid w:val="0031134A"/>
    <w:rsid w:val="003157EF"/>
    <w:rsid w:val="003215A7"/>
    <w:rsid w:val="003221D8"/>
    <w:rsid w:val="003315F6"/>
    <w:rsid w:val="0033564B"/>
    <w:rsid w:val="0036065D"/>
    <w:rsid w:val="00362859"/>
    <w:rsid w:val="0036314D"/>
    <w:rsid w:val="00394436"/>
    <w:rsid w:val="003A00DC"/>
    <w:rsid w:val="003A2D44"/>
    <w:rsid w:val="003C2A5A"/>
    <w:rsid w:val="003C4F3F"/>
    <w:rsid w:val="003C55FB"/>
    <w:rsid w:val="003F6454"/>
    <w:rsid w:val="004027ED"/>
    <w:rsid w:val="00435040"/>
    <w:rsid w:val="00452160"/>
    <w:rsid w:val="00453B21"/>
    <w:rsid w:val="004624D2"/>
    <w:rsid w:val="00481426"/>
    <w:rsid w:val="004859D0"/>
    <w:rsid w:val="004A54D9"/>
    <w:rsid w:val="004B09A1"/>
    <w:rsid w:val="004B1648"/>
    <w:rsid w:val="004B64B8"/>
    <w:rsid w:val="004B70BD"/>
    <w:rsid w:val="004C40B9"/>
    <w:rsid w:val="004D5F75"/>
    <w:rsid w:val="004E412C"/>
    <w:rsid w:val="00504F54"/>
    <w:rsid w:val="00511771"/>
    <w:rsid w:val="00515EDF"/>
    <w:rsid w:val="00516025"/>
    <w:rsid w:val="005361B5"/>
    <w:rsid w:val="00536D9A"/>
    <w:rsid w:val="00546255"/>
    <w:rsid w:val="00547AE3"/>
    <w:rsid w:val="00550306"/>
    <w:rsid w:val="0056063D"/>
    <w:rsid w:val="005A19B3"/>
    <w:rsid w:val="005A2745"/>
    <w:rsid w:val="005B404C"/>
    <w:rsid w:val="005D6676"/>
    <w:rsid w:val="005E010A"/>
    <w:rsid w:val="00610A52"/>
    <w:rsid w:val="0061651E"/>
    <w:rsid w:val="00620AE2"/>
    <w:rsid w:val="00622E35"/>
    <w:rsid w:val="00643847"/>
    <w:rsid w:val="00652930"/>
    <w:rsid w:val="006613F0"/>
    <w:rsid w:val="0066701F"/>
    <w:rsid w:val="00672567"/>
    <w:rsid w:val="00672A44"/>
    <w:rsid w:val="006859C5"/>
    <w:rsid w:val="00685D4D"/>
    <w:rsid w:val="00691666"/>
    <w:rsid w:val="006925CF"/>
    <w:rsid w:val="006A050F"/>
    <w:rsid w:val="006C47E9"/>
    <w:rsid w:val="006F0BD4"/>
    <w:rsid w:val="006F782C"/>
    <w:rsid w:val="007241BA"/>
    <w:rsid w:val="007262B8"/>
    <w:rsid w:val="00730E5D"/>
    <w:rsid w:val="007325FF"/>
    <w:rsid w:val="00732D0F"/>
    <w:rsid w:val="0073638B"/>
    <w:rsid w:val="007363A2"/>
    <w:rsid w:val="007440F4"/>
    <w:rsid w:val="00774239"/>
    <w:rsid w:val="00780CD3"/>
    <w:rsid w:val="007B3CE9"/>
    <w:rsid w:val="007C1D82"/>
    <w:rsid w:val="007C4CB1"/>
    <w:rsid w:val="007D308B"/>
    <w:rsid w:val="007D6BBA"/>
    <w:rsid w:val="007E439C"/>
    <w:rsid w:val="007F5194"/>
    <w:rsid w:val="00800A0B"/>
    <w:rsid w:val="0080739B"/>
    <w:rsid w:val="0082032D"/>
    <w:rsid w:val="00821192"/>
    <w:rsid w:val="00823634"/>
    <w:rsid w:val="00830A34"/>
    <w:rsid w:val="008346D7"/>
    <w:rsid w:val="00836DBC"/>
    <w:rsid w:val="0084520E"/>
    <w:rsid w:val="008473B6"/>
    <w:rsid w:val="008501A3"/>
    <w:rsid w:val="008560EE"/>
    <w:rsid w:val="00863AEF"/>
    <w:rsid w:val="00874AC0"/>
    <w:rsid w:val="00890960"/>
    <w:rsid w:val="008A529F"/>
    <w:rsid w:val="008B787F"/>
    <w:rsid w:val="008D5197"/>
    <w:rsid w:val="008D52DE"/>
    <w:rsid w:val="008D78E3"/>
    <w:rsid w:val="008E1C0A"/>
    <w:rsid w:val="008E4671"/>
    <w:rsid w:val="00904B41"/>
    <w:rsid w:val="00911AED"/>
    <w:rsid w:val="00925D72"/>
    <w:rsid w:val="00947F90"/>
    <w:rsid w:val="00952D77"/>
    <w:rsid w:val="009834FF"/>
    <w:rsid w:val="009A7CF0"/>
    <w:rsid w:val="009B3545"/>
    <w:rsid w:val="009D543F"/>
    <w:rsid w:val="009E59BC"/>
    <w:rsid w:val="009E7C9A"/>
    <w:rsid w:val="009F3BF4"/>
    <w:rsid w:val="00A007EB"/>
    <w:rsid w:val="00A0211A"/>
    <w:rsid w:val="00A037EA"/>
    <w:rsid w:val="00A22881"/>
    <w:rsid w:val="00A22886"/>
    <w:rsid w:val="00A41E70"/>
    <w:rsid w:val="00A71CE2"/>
    <w:rsid w:val="00A7405D"/>
    <w:rsid w:val="00AC31A0"/>
    <w:rsid w:val="00AC3B03"/>
    <w:rsid w:val="00AC620D"/>
    <w:rsid w:val="00AD5E9E"/>
    <w:rsid w:val="00AE286D"/>
    <w:rsid w:val="00AE74DC"/>
    <w:rsid w:val="00B13918"/>
    <w:rsid w:val="00B36BE5"/>
    <w:rsid w:val="00B4794F"/>
    <w:rsid w:val="00B517F1"/>
    <w:rsid w:val="00B536BD"/>
    <w:rsid w:val="00B55410"/>
    <w:rsid w:val="00B63A7F"/>
    <w:rsid w:val="00B650FE"/>
    <w:rsid w:val="00B651F1"/>
    <w:rsid w:val="00B66E6D"/>
    <w:rsid w:val="00B769DA"/>
    <w:rsid w:val="00B80C9C"/>
    <w:rsid w:val="00B84333"/>
    <w:rsid w:val="00B85466"/>
    <w:rsid w:val="00B9648E"/>
    <w:rsid w:val="00BA22BF"/>
    <w:rsid w:val="00BA5386"/>
    <w:rsid w:val="00BB65FA"/>
    <w:rsid w:val="00BC1E45"/>
    <w:rsid w:val="00BC407F"/>
    <w:rsid w:val="00BC6E44"/>
    <w:rsid w:val="00BD7F05"/>
    <w:rsid w:val="00C06FC0"/>
    <w:rsid w:val="00C10691"/>
    <w:rsid w:val="00C10721"/>
    <w:rsid w:val="00C211B4"/>
    <w:rsid w:val="00C24F78"/>
    <w:rsid w:val="00C32A6C"/>
    <w:rsid w:val="00C56171"/>
    <w:rsid w:val="00C57A95"/>
    <w:rsid w:val="00C66A4B"/>
    <w:rsid w:val="00C743EA"/>
    <w:rsid w:val="00C95292"/>
    <w:rsid w:val="00C9638F"/>
    <w:rsid w:val="00CC208C"/>
    <w:rsid w:val="00CE2C39"/>
    <w:rsid w:val="00CE7063"/>
    <w:rsid w:val="00CF00F1"/>
    <w:rsid w:val="00D214C6"/>
    <w:rsid w:val="00D231B1"/>
    <w:rsid w:val="00D262E6"/>
    <w:rsid w:val="00D4467B"/>
    <w:rsid w:val="00D4549B"/>
    <w:rsid w:val="00D47BE4"/>
    <w:rsid w:val="00D5258F"/>
    <w:rsid w:val="00D61739"/>
    <w:rsid w:val="00D623D3"/>
    <w:rsid w:val="00D657A2"/>
    <w:rsid w:val="00D66C99"/>
    <w:rsid w:val="00D83FDB"/>
    <w:rsid w:val="00D84928"/>
    <w:rsid w:val="00D93A1F"/>
    <w:rsid w:val="00D93BF4"/>
    <w:rsid w:val="00DC27F1"/>
    <w:rsid w:val="00DC491B"/>
    <w:rsid w:val="00DC6934"/>
    <w:rsid w:val="00DD525F"/>
    <w:rsid w:val="00DE0809"/>
    <w:rsid w:val="00DF6786"/>
    <w:rsid w:val="00E06C19"/>
    <w:rsid w:val="00E073B1"/>
    <w:rsid w:val="00E1622A"/>
    <w:rsid w:val="00E21927"/>
    <w:rsid w:val="00E26E11"/>
    <w:rsid w:val="00E733DA"/>
    <w:rsid w:val="00E7563A"/>
    <w:rsid w:val="00E81049"/>
    <w:rsid w:val="00EB08D3"/>
    <w:rsid w:val="00EC42E6"/>
    <w:rsid w:val="00EE464B"/>
    <w:rsid w:val="00EE6C6B"/>
    <w:rsid w:val="00EF0162"/>
    <w:rsid w:val="00EF4932"/>
    <w:rsid w:val="00F04A58"/>
    <w:rsid w:val="00F138C3"/>
    <w:rsid w:val="00F14F9B"/>
    <w:rsid w:val="00F20677"/>
    <w:rsid w:val="00F5701D"/>
    <w:rsid w:val="00F6280E"/>
    <w:rsid w:val="00F640F9"/>
    <w:rsid w:val="00F7572D"/>
    <w:rsid w:val="00F76BAE"/>
    <w:rsid w:val="00F76BCE"/>
    <w:rsid w:val="00F8316E"/>
    <w:rsid w:val="00F848A6"/>
    <w:rsid w:val="00FA0C8F"/>
    <w:rsid w:val="00FA5B13"/>
    <w:rsid w:val="00FA7BF2"/>
    <w:rsid w:val="00FB0C63"/>
    <w:rsid w:val="00FB10CB"/>
    <w:rsid w:val="00FC1547"/>
    <w:rsid w:val="00FD30A9"/>
    <w:rsid w:val="00FD7E4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EAAEE4"/>
  <w15:chartTrackingRefBased/>
  <w15:docId w15:val="{D1055FF6-C097-4B87-82B3-A2A271E8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7F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F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27F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3</cp:revision>
  <dcterms:created xsi:type="dcterms:W3CDTF">2022-01-31T13:51:00Z</dcterms:created>
  <dcterms:modified xsi:type="dcterms:W3CDTF">2022-02-01T09:06:00Z</dcterms:modified>
</cp:coreProperties>
</file>