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hidroelektrinių įrengimui, sumažina sąnaudas, pagerina ekologines charakteristikas ir padidina hidroturbinų darbinį plotą. Tikslas pasiekiamas tuo, kad hidroelektrinės korpusas (2) padarytas trikampio formos, kurio šoninėse išpjovose (3) sumontuoti daugiakampio formos hidroturbinų darbiniai ratai (5), kurie turi lovelinės formos kaušinius stipinus (6) ir virš jų pritvirtintus periferinius griebtuvus (7), guoliai (4) įrengti sandariai, o užtvanka (I) - tuštuminė, kurioje įrengti gamybiniai aptarnavimo cechai (8) ir apatinėje dalyje reguliuojamos užtvaros  (9). Tarp korpuso irhidroturbinų sumonti priešingai vandens slėgio masei lankstūs skydeliai (10) ir išlenktos apsauginės grotelės (II).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