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2885D" w14:textId="655181DF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1.</w:t>
      </w:r>
      <w:r w:rsidR="00744D0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kompozicija, </w:t>
      </w:r>
      <w:r w:rsidR="00BE4E0B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apimanti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:</w:t>
      </w:r>
    </w:p>
    <w:p w14:paraId="075631DA" w14:textId="6615DD49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-</w:t>
      </w:r>
      <w:r w:rsidR="00CB3243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antikūną </w:t>
      </w:r>
      <w:r w:rsidR="00BE4E0B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RANKL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arba antigeną surišančią </w:t>
      </w:r>
      <w:r w:rsidR="00BE4E0B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dalį, k</w:t>
      </w:r>
      <w:r w:rsidR="005F308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urių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koncentracija yra </w:t>
      </w:r>
      <w:r w:rsidR="00BE4E0B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intervale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nuo 100 iki 140 mg/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mL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10C33869" w14:textId="7777777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 nuo 1,0 (m/m) % iki 5,0 (m/m) %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sorbitolio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2C57E12C" w14:textId="7777777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 ne mažiau kaip 0,004 (m/t) % ir mažiau nei 0,15 (m/t) %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 arba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80;</w:t>
      </w:r>
    </w:p>
    <w:p w14:paraId="42662455" w14:textId="7777777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 nuo 5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60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acetato arba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glutamato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buferio; ir</w:t>
      </w:r>
    </w:p>
    <w:p w14:paraId="638CB86E" w14:textId="7777777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- nuo 5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180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triptofano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;</w:t>
      </w:r>
    </w:p>
    <w:p w14:paraId="288C2EDA" w14:textId="7777777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vandeninės farmacinės kompozicijos pH yra intervale nuo 5,0 iki 5,4; ir</w:t>
      </w:r>
    </w:p>
    <w:p w14:paraId="24EE2156" w14:textId="487EE1B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kur antikūnas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RANKL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antigeną surišanti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 apima (A) lengvosios grandinės kintamą domeną, apimantį lengvosios grandinės CDR1, apimančią aminorūgščių seką SEQ ID Nr. 5, lengvosios grandinės CDR2, apimančią aminorūgščių seką SEQ ID Nr. 6</w:t>
      </w:r>
      <w:r w:rsidR="0001429C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lengvosios grandinės CDR3, apimanči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aminorūgščių seką SEQ ID Nr. 7; ir (B) sunkiosios grandinės kintamą domeną, apimantį sunkiosios grandinės CDR1, apimančią aminorūgščių seką SEQ ID Nr. 8, sunkiosios grandinės CDR2, apimančią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9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ir sunkiosios grandinės CDR3, apimančią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aminorūgščių seką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SEQ ID Nr. 10.</w:t>
      </w:r>
    </w:p>
    <w:p w14:paraId="16C3A2EE" w14:textId="77777777" w:rsidR="00CB3243" w:rsidRPr="00CB3243" w:rsidRDefault="00CB3243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17837F5" w14:textId="01DE86AB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2.</w:t>
      </w:r>
      <w:r w:rsidR="00744D0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1 punktą, kur antikūnas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RANKL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antigeną surišanti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jo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dalis apima sunkiosios grandinės kintamą sritį, apimančią SEQ ID Nr. 2, ir lengvosios grandinės kintamą sritį, apimančią SEQ ID Nr. 1.</w:t>
      </w:r>
    </w:p>
    <w:p w14:paraId="2ED5AB72" w14:textId="0C52DF26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E87D99A" w14:textId="7109496D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3.</w:t>
      </w:r>
      <w:r w:rsidR="00744D0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1 arba 2 punktą, kur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antikūnas prieš RANKL arba antigeną surišanti jo dalis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apima sunkiąją grandinę, apimančią SEQ ID Nr. 4 arba 14, ir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lengvąją grandinę, apimančią SEQ ID Nr. 3 arba 13.</w:t>
      </w:r>
    </w:p>
    <w:p w14:paraId="561EF53A" w14:textId="2BA83C16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3C442CC" w14:textId="2BD1D369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4.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1-3 punktų, kur antikūnas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prieš RANKL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yra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denosumabas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58BBA1B7" w14:textId="77777777" w:rsidR="00CB3243" w:rsidRPr="00CB3243" w:rsidRDefault="00CB3243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DB4A3DE" w14:textId="51DF1A56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5.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bet kurį iš ankstesnių punktų, kur antikūno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prieš RANKL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koncentracija yra 120 mg/ml ± 12 mg/ml.</w:t>
      </w:r>
    </w:p>
    <w:p w14:paraId="695D936D" w14:textId="66382F5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C042D93" w14:textId="599FE59A" w:rsidR="00B62029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6.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bet kurį iš ankstesnių punktų, apimanti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fenilalaniną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6EA88D1" w14:textId="77777777" w:rsidR="00CB3243" w:rsidRPr="00CB3243" w:rsidRDefault="00CB3243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A50BE6B" w14:textId="686CABB5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7.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ankstesnių punktų, apimanti nuo 20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50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triptofano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pasirinktinai,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4934FB64" w14:textId="5CAA98DC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8DA35E2" w14:textId="77777777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8. Vandeninė farmacinė kompozicija pagal bet kurį iš ankstesnių punktų, kur buferis yra acetatas.</w:t>
      </w:r>
    </w:p>
    <w:p w14:paraId="109D0253" w14:textId="1F56B6AC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A8CF13F" w14:textId="4F7A3BD8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9.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bet kurį iš 1-6 punktų, apimanti L-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fenilalaniną</w:t>
      </w:r>
      <w:proofErr w:type="spellEnd"/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apimanti acetato buferį </w:t>
      </w:r>
      <w:r w:rsidR="00CE58F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intervale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nuo 2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30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nuo 16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41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nuo 25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39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arba nuo 30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34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726ED934" w14:textId="15CB417E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80C41F2" w14:textId="41272535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10.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1-9 punktų, apimanti nuo 2,0 (m/m) % iki 5,0 (m/m) %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sorbitolio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.</w:t>
      </w:r>
    </w:p>
    <w:p w14:paraId="218FA2CB" w14:textId="5999B118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6FCD659E" w14:textId="6F52E149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lastRenderedPageBreak/>
        <w:t>11.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ankstesnių punktų, kur paviršiaus aktyvioji medžiaga yra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polisorbatas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20.</w:t>
      </w:r>
    </w:p>
    <w:p w14:paraId="1E6505D0" w14:textId="0912227A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01804EC" w14:textId="656C5BFF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12.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bet kurį iš ankstesnių punktų, kuri yra vandeninė kompozicija, kurios pH yra nuo 5,0 iki 5,2.</w:t>
      </w:r>
    </w:p>
    <w:p w14:paraId="249CBBA7" w14:textId="07AC3AB8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7F3749DF" w14:textId="38148E84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13.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ankstesnių punktų, </w:t>
      </w:r>
      <w:r w:rsidR="00553F6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kurios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(i) klampum</w:t>
      </w:r>
      <w:r w:rsidR="00553F6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yra ne didesnis kaip 6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cP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esant 5 °C, (ii) laidum</w:t>
      </w:r>
      <w:r w:rsidR="00553F6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as yra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diapazone nuo 500 µS/cm iki 2000 µS/cm, (iii)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osmoliškumas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nuo 200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mOsm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/kg iki 500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mOsm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/kg, </w:t>
      </w:r>
      <w:r w:rsidR="00553F6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iv)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1429C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yra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maž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iau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nei 2 % didelės molekulinės masės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formų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(HMWS) 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ir (arba) daugiau kaip 98 % antikūnų pagrindinės smailės, išmatuotos SE-UHPLC, po ne trumpesnio kaip 12 mėnesių laikymo nuo 2 °C iki 8 °C temperatūroje.</w:t>
      </w:r>
    </w:p>
    <w:p w14:paraId="2BD7CD43" w14:textId="13DD2A1E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994FE02" w14:textId="5149B622" w:rsidR="00696250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14.</w:t>
      </w:r>
      <w:r w:rsidR="00B62029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bet kurį iš ankstesnių punktų, apimanti mažiau nei 2 % didelės molekulinės masės 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(HMWS) ir/arba daugiau nei 98 % antikūn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pagrindinės smailės, išmatuot</w:t>
      </w:r>
      <w:r w:rsidR="00C53DE6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SE-UHPLC, 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 ne trumpesnio kaip 36 mėnesių laikymo nuo 2 °C iki 8 °C temperatūroje.</w:t>
      </w:r>
    </w:p>
    <w:p w14:paraId="10EA43C8" w14:textId="15F13097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5A45C9F4" w14:textId="2C81284A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15. Vandeninė farmacinė kompozicija pagal bet kurį iš ankstesnių punktų, apimanti mažiau nei 2 % didelės molekulinės masės 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formų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(HMWS) ir/arba daugiau nei 98 % antikūn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pagrindinės smailės, išmatuot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SE-UHPLC, 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 pirmojo laikymo nuo 2 °C iki 8 °C temperatūroje ne trumpiau kaip 36 mėnesius, o po to po antrojo laikymo nuo 20 °C iki 30 °C temperatūroje 1 mėnesį.</w:t>
      </w:r>
    </w:p>
    <w:p w14:paraId="06370B3A" w14:textId="6BB4E63A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482665A" w14:textId="303FB192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16.</w:t>
      </w:r>
      <w:r w:rsidR="0013005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1 punktą, kur kompozicija apima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denosumabą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kurio koncentracija yra nuo 108 mg/ml iki 132 mg/ml, nuo 28,8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35,2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acetato, nuo 33,3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iki 40,7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nuo 3,51 % (m/v) </w:t>
      </w:r>
      <w:r w:rsidR="00696250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iki 4, 29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% (m/t)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sorbitolio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0,009 % (m/t) iki 0,011 % (m/t)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20, esant pH 5,1.</w:t>
      </w:r>
    </w:p>
    <w:p w14:paraId="08B6730F" w14:textId="282859CF" w:rsidR="00632412" w:rsidRPr="00CB3243" w:rsidRDefault="00632412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2DA864DF" w14:textId="20459315" w:rsidR="00632412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17.</w:t>
      </w:r>
      <w:r w:rsidR="0013005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Vandeninė farmacinė kompozicija pagal 17 punktą, apimanti 120 mg/ml koncentracijos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denosumabo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32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acetato, 37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mM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fenilalanino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3,9 % (m/t)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sorbitolio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ir 0,01 % (m/t)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polisorbato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20, esant pH 5,1. </w:t>
      </w:r>
    </w:p>
    <w:p w14:paraId="1970B8B1" w14:textId="77777777" w:rsidR="0028553F" w:rsidRPr="00CB3243" w:rsidRDefault="0028553F" w:rsidP="00CB3243">
      <w:pPr>
        <w:spacing w:after="0" w:line="360" w:lineRule="auto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</w:p>
    <w:p w14:paraId="1B98B41E" w14:textId="2B1C8A6E" w:rsidR="00D5638F" w:rsidRPr="00CB3243" w:rsidRDefault="00632412" w:rsidP="00CB3243">
      <w:pPr>
        <w:spacing w:after="0" w:line="360" w:lineRule="auto"/>
        <w:ind w:firstLine="567"/>
        <w:jc w:val="both"/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</w:pP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18.</w:t>
      </w:r>
      <w:r w:rsidR="00130055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Vandeninė farmacinė kompozicija pagal bet kurį iš ankstesnių punktų, skirta (a) su skeletu susijusi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ų reiškinių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(S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R)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gydymui arba profilaktikai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sergančiame </w:t>
      </w:r>
      <w:proofErr w:type="spellStart"/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solidinių</w:t>
      </w:r>
      <w:proofErr w:type="spellEnd"/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navikų metastazėmis kauluose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(b) S</w:t>
      </w:r>
      <w:r w:rsidR="0028553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 gydymui arba profilaktikai subjekt</w:t>
      </w:r>
      <w:r w:rsidR="00D960C7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</w:t>
      </w:r>
      <w:r w:rsidR="00D960C7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kuris yra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suaugęs arba subrend</w:t>
      </w:r>
      <w:r w:rsidR="00D960C7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usio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skeleto paauglys, turintis milžinišką kaulų naviką, kurio negalima pašalinti arba kurio chirurginė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rezekcija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gali sukelti sunkų sergamumą, </w:t>
      </w:r>
      <w:r w:rsidR="00D960C7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c) 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piktybinių navikų sukeltos </w:t>
      </w:r>
      <w:proofErr w:type="spellStart"/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hiperkalcemijos</w:t>
      </w:r>
      <w:proofErr w:type="spellEnd"/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atsparios gydymui </w:t>
      </w:r>
      <w:proofErr w:type="spellStart"/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bisfosfonatais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gydym</w:t>
      </w:r>
      <w:r w:rsidR="00D960C7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subjekte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(d)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SSR gydymui arba profilaktikai subjekte, sergančiame daugine mieloma arba kietojo naviko kaulų metastazėmis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e)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osteoporozės gydymui moterims po menopauzės, kurioms yra didelė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kaulų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lūžių rizika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f) gydym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ui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, siekiant padidinti kaulų masę moterims, kurioms yra didelė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kaulų lūžių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rizik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a,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dėl krūties vėžio gydymo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adjuvantiniu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aromatazės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inhibitoriumi, 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g)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gydymui, siekiant padidinti kaulų masę vyrams, kuriems yra didelė kaulų lūžių rizika, taikant androgenų </w:t>
      </w:r>
      <w:proofErr w:type="spellStart"/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deprivacijos</w:t>
      </w:r>
      <w:proofErr w:type="spellEnd"/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terapiją dėl </w:t>
      </w:r>
      <w:proofErr w:type="spellStart"/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nemetastazavusio</w:t>
      </w:r>
      <w:proofErr w:type="spellEnd"/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prostatos vėžio,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05769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(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h)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osteoporoze sergančių vyrų, kuriems yra didelė kaulų lūžių rizika, kaulų masės didinimo gydymui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, (i) 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taikant 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gydym</w:t>
      </w:r>
      <w:r w:rsidR="004924A1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ą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kalciu arba vitaminu D, (j)</w:t>
      </w:r>
      <w:r w:rsidR="00D5638F" w:rsidRPr="00CB3243">
        <w:rPr>
          <w:rFonts w:ascii="Helvetica" w:hAnsi="Helvetica"/>
          <w:sz w:val="20"/>
        </w:rPr>
        <w:t xml:space="preserve"> </w:t>
      </w:r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gydant </w:t>
      </w:r>
      <w:proofErr w:type="spellStart"/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gigantinių</w:t>
      </w:r>
      <w:proofErr w:type="spellEnd"/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ląstelių kaulų naviką subjekte, kuriam tai yra reikalinga,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(k)</w:t>
      </w:r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piktybinio naviko sukeltos </w:t>
      </w:r>
      <w:proofErr w:type="spellStart"/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hiperkalcemijos</w:t>
      </w:r>
      <w:proofErr w:type="spellEnd"/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gydymui,</w:t>
      </w:r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subjekte, kuriam tai yra reikalinga</w:t>
      </w:r>
      <w:r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(I) </w:t>
      </w:r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osteoporozės gydymui subjekte, kuriam tai yra reikalinga, arba (m)</w:t>
      </w:r>
      <w:r w:rsidR="00CB3243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 xml:space="preserve"> </w:t>
      </w:r>
      <w:r w:rsidR="00D5638F" w:rsidRPr="00CB3243">
        <w:rPr>
          <w:rFonts w:ascii="Helvetica" w:eastAsia="Times New Roman" w:hAnsi="Helvetica" w:cs="Arial"/>
          <w:kern w:val="0"/>
          <w:sz w:val="20"/>
          <w:szCs w:val="24"/>
          <w:lang w:eastAsia="lt-LT"/>
          <w14:ligatures w14:val="none"/>
        </w:rPr>
        <w:t>kaulų masės didinimui subjekte, kuriam tai yra reikalinga.</w:t>
      </w:r>
    </w:p>
    <w:sectPr w:rsidR="00D5638F" w:rsidRPr="00CB3243" w:rsidSect="00284BB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AFFA" w14:textId="77777777" w:rsidR="00284BB3" w:rsidRDefault="00284BB3" w:rsidP="00BE4E0B">
      <w:pPr>
        <w:spacing w:after="0" w:line="240" w:lineRule="auto"/>
      </w:pPr>
      <w:r>
        <w:separator/>
      </w:r>
    </w:p>
  </w:endnote>
  <w:endnote w:type="continuationSeparator" w:id="0">
    <w:p w14:paraId="78A71DD2" w14:textId="77777777" w:rsidR="00284BB3" w:rsidRDefault="00284BB3" w:rsidP="00BE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9CE31" w14:textId="77777777" w:rsidR="00284BB3" w:rsidRDefault="00284BB3" w:rsidP="00BE4E0B">
      <w:pPr>
        <w:spacing w:after="0" w:line="240" w:lineRule="auto"/>
      </w:pPr>
      <w:r>
        <w:separator/>
      </w:r>
    </w:p>
  </w:footnote>
  <w:footnote w:type="continuationSeparator" w:id="0">
    <w:p w14:paraId="65601169" w14:textId="77777777" w:rsidR="00284BB3" w:rsidRDefault="00284BB3" w:rsidP="00BE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12"/>
    <w:rsid w:val="0001429C"/>
    <w:rsid w:val="0005769F"/>
    <w:rsid w:val="00082A11"/>
    <w:rsid w:val="00130055"/>
    <w:rsid w:val="0016451E"/>
    <w:rsid w:val="001A6E79"/>
    <w:rsid w:val="00284BB3"/>
    <w:rsid w:val="0028553F"/>
    <w:rsid w:val="004924A1"/>
    <w:rsid w:val="00553F60"/>
    <w:rsid w:val="005F3085"/>
    <w:rsid w:val="00632412"/>
    <w:rsid w:val="006438BC"/>
    <w:rsid w:val="00696250"/>
    <w:rsid w:val="00744D00"/>
    <w:rsid w:val="008D1371"/>
    <w:rsid w:val="00B62029"/>
    <w:rsid w:val="00BE4E0B"/>
    <w:rsid w:val="00C53DE6"/>
    <w:rsid w:val="00CA66BE"/>
    <w:rsid w:val="00CB3243"/>
    <w:rsid w:val="00CE58F5"/>
    <w:rsid w:val="00D5638F"/>
    <w:rsid w:val="00D960C7"/>
    <w:rsid w:val="00DE7028"/>
    <w:rsid w:val="00E5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2CC63A"/>
  <w15:chartTrackingRefBased/>
  <w15:docId w15:val="{9FCEF511-F816-4CE0-8661-4125CDB4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E4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E4E0B"/>
  </w:style>
  <w:style w:type="paragraph" w:styleId="Porat">
    <w:name w:val="footer"/>
    <w:basedOn w:val="prastasis"/>
    <w:link w:val="PoratDiagrama"/>
    <w:uiPriority w:val="99"/>
    <w:unhideWhenUsed/>
    <w:rsid w:val="00BE4E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E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890</Words>
  <Characters>4997</Characters>
  <Application>Microsoft Office Word</Application>
  <DocSecurity>0</DocSecurity>
  <Lines>90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Minkute</dc:creator>
  <cp:keywords/>
  <dc:description/>
  <cp:lastModifiedBy>Rasa Gurčytė</cp:lastModifiedBy>
  <cp:revision>10</cp:revision>
  <dcterms:created xsi:type="dcterms:W3CDTF">2024-02-01T19:53:00Z</dcterms:created>
  <dcterms:modified xsi:type="dcterms:W3CDTF">2024-02-07T14:50:00Z</dcterms:modified>
</cp:coreProperties>
</file>