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6F69" w14:textId="2F079092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1. </w:t>
      </w:r>
      <w:proofErr w:type="spellStart"/>
      <w:r w:rsidRPr="007F1A90">
        <w:rPr>
          <w:rFonts w:ascii="Helvetica" w:hAnsi="Helvetica" w:cs="Arial"/>
          <w:sz w:val="20"/>
        </w:rPr>
        <w:t>Afukozilintas</w:t>
      </w:r>
      <w:proofErr w:type="spellEnd"/>
      <w:r w:rsidRPr="007F1A90">
        <w:rPr>
          <w:rFonts w:ascii="Helvetica" w:hAnsi="Helvetica" w:cs="Arial"/>
          <w:sz w:val="20"/>
        </w:rPr>
        <w:t xml:space="preserve"> </w:t>
      </w:r>
      <w:proofErr w:type="spellStart"/>
      <w:r w:rsidRPr="007F1A90">
        <w:rPr>
          <w:rFonts w:ascii="Helvetica" w:hAnsi="Helvetica" w:cs="Arial"/>
          <w:sz w:val="20"/>
        </w:rPr>
        <w:t>anti</w:t>
      </w:r>
      <w:proofErr w:type="spellEnd"/>
      <w:r w:rsidRPr="007F1A90">
        <w:rPr>
          <w:rFonts w:ascii="Helvetica" w:hAnsi="Helvetica" w:cs="Arial"/>
          <w:sz w:val="20"/>
        </w:rPr>
        <w:t xml:space="preserve">-fibroblastų augimo faktoriaus receptoriaus 2 </w:t>
      </w:r>
      <w:proofErr w:type="spellStart"/>
      <w:r w:rsidRPr="007F1A90">
        <w:rPr>
          <w:rFonts w:ascii="Helvetica" w:hAnsi="Helvetica" w:cs="Arial"/>
          <w:sz w:val="20"/>
        </w:rPr>
        <w:t>Illb</w:t>
      </w:r>
      <w:proofErr w:type="spellEnd"/>
      <w:r w:rsidRPr="007F1A90">
        <w:rPr>
          <w:rFonts w:ascii="Helvetica" w:hAnsi="Helvetica" w:cs="Arial"/>
          <w:sz w:val="20"/>
        </w:rPr>
        <w:t xml:space="preserve"> (anti-FGFR2-Illb) antikūnas, skirtas naudoti </w:t>
      </w:r>
      <w:r w:rsidR="005138DE" w:rsidRPr="007F1A90">
        <w:rPr>
          <w:rFonts w:ascii="Helvetica" w:hAnsi="Helvetica" w:cs="Arial"/>
          <w:sz w:val="20"/>
        </w:rPr>
        <w:t xml:space="preserve">taikant žmogui </w:t>
      </w:r>
      <w:r w:rsidRPr="007F1A90">
        <w:rPr>
          <w:rFonts w:ascii="Helvetica" w:hAnsi="Helvetica" w:cs="Arial"/>
          <w:sz w:val="20"/>
        </w:rPr>
        <w:t xml:space="preserve">skrandžio vėžio gydymo </w:t>
      </w:r>
      <w:r w:rsidR="005138DE" w:rsidRPr="007F1A90">
        <w:rPr>
          <w:rFonts w:ascii="Helvetica" w:hAnsi="Helvetica" w:cs="Arial"/>
          <w:sz w:val="20"/>
        </w:rPr>
        <w:t>būdą</w:t>
      </w:r>
      <w:r w:rsidRPr="007F1A90">
        <w:rPr>
          <w:rFonts w:ascii="Helvetica" w:hAnsi="Helvetica" w:cs="Arial"/>
          <w:sz w:val="20"/>
        </w:rPr>
        <w:t xml:space="preserve">, kur </w:t>
      </w:r>
      <w:r w:rsidR="005138DE" w:rsidRPr="007F1A90">
        <w:rPr>
          <w:rFonts w:ascii="Helvetica" w:hAnsi="Helvetica" w:cs="Arial"/>
          <w:sz w:val="20"/>
        </w:rPr>
        <w:t xml:space="preserve">būdas </w:t>
      </w:r>
      <w:r w:rsidRPr="007F1A90">
        <w:rPr>
          <w:rFonts w:ascii="Helvetica" w:hAnsi="Helvetica" w:cs="Arial"/>
          <w:sz w:val="20"/>
        </w:rPr>
        <w:t xml:space="preserve">apima </w:t>
      </w:r>
      <w:r w:rsidR="005138DE" w:rsidRPr="007F1A90">
        <w:rPr>
          <w:rFonts w:ascii="Helvetica" w:hAnsi="Helvetica" w:cs="Arial"/>
          <w:sz w:val="20"/>
        </w:rPr>
        <w:t xml:space="preserve">antikūno įvedimą vienu metu </w:t>
      </w:r>
      <w:r w:rsidRPr="007F1A90">
        <w:rPr>
          <w:rFonts w:ascii="Helvetica" w:hAnsi="Helvetica" w:cs="Arial"/>
          <w:sz w:val="20"/>
        </w:rPr>
        <w:t xml:space="preserve">arba </w:t>
      </w:r>
      <w:r w:rsidR="005138DE" w:rsidRPr="007F1A90">
        <w:rPr>
          <w:rFonts w:ascii="Helvetica" w:hAnsi="Helvetica" w:cs="Arial"/>
          <w:sz w:val="20"/>
        </w:rPr>
        <w:t xml:space="preserve">nuosekliai </w:t>
      </w:r>
      <w:r w:rsidRPr="007F1A90">
        <w:rPr>
          <w:rFonts w:ascii="Helvetica" w:hAnsi="Helvetica" w:cs="Arial"/>
          <w:sz w:val="20"/>
        </w:rPr>
        <w:t>su chemoterapijos režimu, kur anti-FGFR2-Illb antikūnas yra pasirinktas iš:</w:t>
      </w:r>
    </w:p>
    <w:p w14:paraId="5BDFC9D0" w14:textId="6A9E9983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>(a) antikūno, apiman</w:t>
      </w:r>
      <w:r w:rsidR="005138DE" w:rsidRPr="007F1A90">
        <w:rPr>
          <w:rFonts w:ascii="Helvetica" w:hAnsi="Helvetica" w:cs="Arial"/>
          <w:sz w:val="20"/>
        </w:rPr>
        <w:t>čio</w:t>
      </w:r>
      <w:r w:rsidRPr="007F1A90">
        <w:rPr>
          <w:rFonts w:ascii="Helvetica" w:hAnsi="Helvetica" w:cs="Arial"/>
          <w:sz w:val="20"/>
        </w:rPr>
        <w:t xml:space="preserve"> sunkiosios grandinės ir lengvosios grandinės </w:t>
      </w:r>
      <w:r w:rsidR="005138DE" w:rsidRPr="007F1A90">
        <w:rPr>
          <w:rFonts w:ascii="Helvetica" w:hAnsi="Helvetica" w:cs="Arial"/>
          <w:sz w:val="20"/>
        </w:rPr>
        <w:t>kintamas sritis</w:t>
      </w:r>
      <w:r w:rsidRPr="007F1A90">
        <w:rPr>
          <w:rFonts w:ascii="Helvetica" w:hAnsi="Helvetica" w:cs="Arial"/>
          <w:sz w:val="20"/>
        </w:rPr>
        <w:t xml:space="preserve">, kur sunkiosios grandinės </w:t>
      </w:r>
      <w:r w:rsidR="005138DE" w:rsidRPr="007F1A90">
        <w:rPr>
          <w:rFonts w:ascii="Helvetica" w:hAnsi="Helvetica" w:cs="Arial"/>
          <w:sz w:val="20"/>
        </w:rPr>
        <w:t xml:space="preserve">kintama </w:t>
      </w:r>
      <w:r w:rsidRPr="007F1A90">
        <w:rPr>
          <w:rFonts w:ascii="Helvetica" w:hAnsi="Helvetica" w:cs="Arial"/>
          <w:sz w:val="20"/>
        </w:rPr>
        <w:t>sritis apima:</w:t>
      </w:r>
    </w:p>
    <w:p w14:paraId="334E1305" w14:textId="4164270F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(i) HVR-H1, kuri apima aminorūgščių </w:t>
      </w:r>
      <w:r w:rsidR="005138DE" w:rsidRPr="007F1A90">
        <w:rPr>
          <w:rFonts w:ascii="Helvetica" w:hAnsi="Helvetica" w:cs="Arial"/>
          <w:sz w:val="20"/>
        </w:rPr>
        <w:t xml:space="preserve">seką </w:t>
      </w:r>
      <w:r w:rsidRPr="007F1A90">
        <w:rPr>
          <w:rFonts w:ascii="Helvetica" w:hAnsi="Helvetica" w:cs="Arial"/>
          <w:sz w:val="20"/>
        </w:rPr>
        <w:t xml:space="preserve">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6;</w:t>
      </w:r>
    </w:p>
    <w:p w14:paraId="553C7437" w14:textId="3A3B371A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(ii) HVR-H2, </w:t>
      </w:r>
      <w:r w:rsidR="005138DE" w:rsidRPr="007F1A90">
        <w:rPr>
          <w:rFonts w:ascii="Helvetica" w:hAnsi="Helvetica" w:cs="Arial"/>
          <w:sz w:val="20"/>
        </w:rPr>
        <w:t xml:space="preserve">kuri </w:t>
      </w:r>
      <w:r w:rsidRPr="007F1A90">
        <w:rPr>
          <w:rFonts w:ascii="Helvetica" w:hAnsi="Helvetica" w:cs="Arial"/>
          <w:sz w:val="20"/>
        </w:rPr>
        <w:t xml:space="preserve">apima aminorūgščių seką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7; ir</w:t>
      </w:r>
    </w:p>
    <w:p w14:paraId="0B43542D" w14:textId="43363D5C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(iii) HVR-H3, </w:t>
      </w:r>
      <w:r w:rsidR="005138DE" w:rsidRPr="007F1A90">
        <w:rPr>
          <w:rFonts w:ascii="Helvetica" w:hAnsi="Helvetica" w:cs="Arial"/>
          <w:sz w:val="20"/>
        </w:rPr>
        <w:t>kuri apima</w:t>
      </w:r>
      <w:r w:rsidRPr="007F1A90">
        <w:rPr>
          <w:rFonts w:ascii="Helvetica" w:hAnsi="Helvetica" w:cs="Arial"/>
          <w:sz w:val="20"/>
        </w:rPr>
        <w:t xml:space="preserve"> aminorūgščių sek</w:t>
      </w:r>
      <w:r w:rsidR="005138DE" w:rsidRPr="007F1A90">
        <w:rPr>
          <w:rFonts w:ascii="Helvetica" w:hAnsi="Helvetica" w:cs="Arial"/>
          <w:sz w:val="20"/>
        </w:rPr>
        <w:t>ą</w:t>
      </w:r>
      <w:r w:rsidRPr="007F1A90">
        <w:rPr>
          <w:rFonts w:ascii="Helvetica" w:hAnsi="Helvetica" w:cs="Arial"/>
          <w:sz w:val="20"/>
        </w:rPr>
        <w:t xml:space="preserve">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8;</w:t>
      </w:r>
    </w:p>
    <w:p w14:paraId="3100EEEE" w14:textId="3A5E85FB" w:rsidR="0008444A" w:rsidRPr="007F1A90" w:rsidRDefault="005138DE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ir </w:t>
      </w:r>
      <w:r w:rsidR="0008444A" w:rsidRPr="007F1A90">
        <w:rPr>
          <w:rFonts w:ascii="Helvetica" w:hAnsi="Helvetica" w:cs="Arial"/>
          <w:sz w:val="20"/>
        </w:rPr>
        <w:t>lengvosios grandinės kintama</w:t>
      </w:r>
      <w:r w:rsidRPr="007F1A90">
        <w:rPr>
          <w:rFonts w:ascii="Helvetica" w:hAnsi="Helvetica" w:cs="Arial"/>
          <w:sz w:val="20"/>
        </w:rPr>
        <w:t xml:space="preserve"> sritis</w:t>
      </w:r>
      <w:r w:rsidR="0008444A" w:rsidRPr="007F1A90">
        <w:rPr>
          <w:rFonts w:ascii="Helvetica" w:hAnsi="Helvetica" w:cs="Arial"/>
          <w:sz w:val="20"/>
        </w:rPr>
        <w:t xml:space="preserve"> apima:</w:t>
      </w:r>
    </w:p>
    <w:p w14:paraId="0BDAFD3A" w14:textId="02CB2A8D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(iv) HVR-L1, kuri apima aminorūgščių </w:t>
      </w:r>
      <w:r w:rsidR="005138DE" w:rsidRPr="007F1A90">
        <w:rPr>
          <w:rFonts w:ascii="Helvetica" w:hAnsi="Helvetica" w:cs="Arial"/>
          <w:sz w:val="20"/>
        </w:rPr>
        <w:t xml:space="preserve">seką </w:t>
      </w:r>
      <w:r w:rsidRPr="007F1A90">
        <w:rPr>
          <w:rFonts w:ascii="Helvetica" w:hAnsi="Helvetica" w:cs="Arial"/>
          <w:sz w:val="20"/>
        </w:rPr>
        <w:t xml:space="preserve">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9;</w:t>
      </w:r>
    </w:p>
    <w:p w14:paraId="6B314899" w14:textId="3AF8BF36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(v) HVR-L2, kuri apima aminorūgščių </w:t>
      </w:r>
      <w:r w:rsidR="005138DE" w:rsidRPr="007F1A90">
        <w:rPr>
          <w:rFonts w:ascii="Helvetica" w:hAnsi="Helvetica" w:cs="Arial"/>
          <w:sz w:val="20"/>
        </w:rPr>
        <w:t xml:space="preserve">seką </w:t>
      </w:r>
      <w:r w:rsidRPr="007F1A90">
        <w:rPr>
          <w:rFonts w:ascii="Helvetica" w:hAnsi="Helvetica" w:cs="Arial"/>
          <w:sz w:val="20"/>
        </w:rPr>
        <w:t xml:space="preserve">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10; ir</w:t>
      </w:r>
    </w:p>
    <w:p w14:paraId="5CBB0E11" w14:textId="34FFB6F2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(vi) HVR-L3, kuri apima aminorūgščių </w:t>
      </w:r>
      <w:r w:rsidR="005138DE" w:rsidRPr="007F1A90">
        <w:rPr>
          <w:rFonts w:ascii="Helvetica" w:hAnsi="Helvetica" w:cs="Arial"/>
          <w:sz w:val="20"/>
        </w:rPr>
        <w:t xml:space="preserve">seką </w:t>
      </w:r>
      <w:r w:rsidRPr="007F1A90">
        <w:rPr>
          <w:rFonts w:ascii="Helvetica" w:hAnsi="Helvetica" w:cs="Arial"/>
          <w:sz w:val="20"/>
        </w:rPr>
        <w:t xml:space="preserve">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11;</w:t>
      </w:r>
    </w:p>
    <w:p w14:paraId="0F177F04" w14:textId="373510C1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(b) </w:t>
      </w:r>
      <w:r w:rsidR="005138DE" w:rsidRPr="007F1A90">
        <w:rPr>
          <w:rFonts w:ascii="Helvetica" w:hAnsi="Helvetica" w:cs="Arial"/>
          <w:sz w:val="20"/>
        </w:rPr>
        <w:t>antikūno, apimančio sunkiosios grandinės</w:t>
      </w:r>
      <w:r w:rsidRPr="007F1A90">
        <w:rPr>
          <w:rFonts w:ascii="Helvetica" w:hAnsi="Helvetica" w:cs="Arial"/>
          <w:sz w:val="20"/>
        </w:rPr>
        <w:t xml:space="preserve"> </w:t>
      </w:r>
      <w:r w:rsidR="005138DE" w:rsidRPr="007F1A90">
        <w:rPr>
          <w:rFonts w:ascii="Helvetica" w:hAnsi="Helvetica" w:cs="Arial"/>
          <w:sz w:val="20"/>
        </w:rPr>
        <w:t xml:space="preserve">kintamą sritį, </w:t>
      </w:r>
      <w:r w:rsidRPr="007F1A90">
        <w:rPr>
          <w:rFonts w:ascii="Helvetica" w:hAnsi="Helvetica" w:cs="Arial"/>
          <w:sz w:val="20"/>
        </w:rPr>
        <w:t>apima</w:t>
      </w:r>
      <w:r w:rsidR="005138DE" w:rsidRPr="007F1A90">
        <w:rPr>
          <w:rFonts w:ascii="Helvetica" w:hAnsi="Helvetica" w:cs="Arial"/>
          <w:sz w:val="20"/>
        </w:rPr>
        <w:t>nčią</w:t>
      </w:r>
      <w:r w:rsidRPr="007F1A90">
        <w:rPr>
          <w:rFonts w:ascii="Helvetica" w:hAnsi="Helvetica" w:cs="Arial"/>
          <w:sz w:val="20"/>
        </w:rPr>
        <w:t xml:space="preserve"> aminorūgščių seką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4</w:t>
      </w:r>
      <w:r w:rsidR="005138DE" w:rsidRPr="007F1A90">
        <w:rPr>
          <w:rFonts w:ascii="Helvetica" w:hAnsi="Helvetica" w:cs="Arial"/>
          <w:sz w:val="20"/>
        </w:rPr>
        <w:t>,</w:t>
      </w:r>
      <w:r w:rsidRPr="007F1A90">
        <w:rPr>
          <w:rFonts w:ascii="Helvetica" w:hAnsi="Helvetica" w:cs="Arial"/>
          <w:sz w:val="20"/>
        </w:rPr>
        <w:t xml:space="preserve"> ir lengvo</w:t>
      </w:r>
      <w:r w:rsidR="005138DE" w:rsidRPr="007F1A90">
        <w:rPr>
          <w:rFonts w:ascii="Helvetica" w:hAnsi="Helvetica" w:cs="Arial"/>
          <w:sz w:val="20"/>
        </w:rPr>
        <w:t>sios</w:t>
      </w:r>
      <w:r w:rsidRPr="007F1A90">
        <w:rPr>
          <w:rFonts w:ascii="Helvetica" w:hAnsi="Helvetica" w:cs="Arial"/>
          <w:sz w:val="20"/>
        </w:rPr>
        <w:t xml:space="preserve"> </w:t>
      </w:r>
      <w:r w:rsidR="005138DE" w:rsidRPr="007F1A90">
        <w:rPr>
          <w:rFonts w:ascii="Helvetica" w:hAnsi="Helvetica" w:cs="Arial"/>
          <w:sz w:val="20"/>
        </w:rPr>
        <w:t>grandinės kintamą sritį, apimančią</w:t>
      </w:r>
      <w:r w:rsidRPr="007F1A90">
        <w:rPr>
          <w:rFonts w:ascii="Helvetica" w:hAnsi="Helvetica" w:cs="Arial"/>
          <w:sz w:val="20"/>
        </w:rPr>
        <w:t xml:space="preserve"> aminorūgščių seką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5; ir</w:t>
      </w:r>
    </w:p>
    <w:p w14:paraId="137071F4" w14:textId="206F9F79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(c) </w:t>
      </w:r>
      <w:r w:rsidR="005138DE" w:rsidRPr="007F1A90">
        <w:rPr>
          <w:rFonts w:ascii="Helvetica" w:hAnsi="Helvetica" w:cs="Arial"/>
          <w:sz w:val="20"/>
        </w:rPr>
        <w:t>antikūno, apimančio</w:t>
      </w:r>
      <w:r w:rsidRPr="007F1A90">
        <w:rPr>
          <w:rFonts w:ascii="Helvetica" w:hAnsi="Helvetica" w:cs="Arial"/>
          <w:sz w:val="20"/>
        </w:rPr>
        <w:t xml:space="preserve"> sunkiosios grandinės, apimančios aminorūgščių seką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2, ir lengvosios grandinės, apimančios aminorūgščių seką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3,</w:t>
      </w:r>
    </w:p>
    <w:p w14:paraId="5BD06BA4" w14:textId="08E730A8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kur anti-FGFR2-Illb antikūnas </w:t>
      </w:r>
      <w:r w:rsidR="005138DE" w:rsidRPr="007F1A90">
        <w:rPr>
          <w:rFonts w:ascii="Helvetica" w:hAnsi="Helvetica" w:cs="Arial"/>
          <w:sz w:val="20"/>
        </w:rPr>
        <w:t xml:space="preserve">yra įvedamas </w:t>
      </w:r>
      <w:r w:rsidRPr="007F1A90">
        <w:rPr>
          <w:rFonts w:ascii="Helvetica" w:hAnsi="Helvetica" w:cs="Arial"/>
          <w:sz w:val="20"/>
        </w:rPr>
        <w:t xml:space="preserve">10–15 mg/kg doze </w:t>
      </w:r>
      <w:r w:rsidR="005138D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14 dienų, plius ar minus 3 dienos, arba </w:t>
      </w:r>
      <w:r w:rsidR="005138D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11–17 dienų, ir kur chemoterapijos </w:t>
      </w:r>
      <w:r w:rsidR="005138DE" w:rsidRPr="007F1A90">
        <w:rPr>
          <w:rFonts w:ascii="Helvetica" w:hAnsi="Helvetica" w:cs="Arial"/>
          <w:sz w:val="20"/>
        </w:rPr>
        <w:t xml:space="preserve">režimas </w:t>
      </w:r>
      <w:r w:rsidRPr="007F1A90">
        <w:rPr>
          <w:rFonts w:ascii="Helvetica" w:hAnsi="Helvetica" w:cs="Arial"/>
          <w:sz w:val="20"/>
        </w:rPr>
        <w:t xml:space="preserve">apima </w:t>
      </w:r>
      <w:r w:rsidR="005138DE" w:rsidRPr="007F1A90">
        <w:rPr>
          <w:rFonts w:ascii="Helvetica" w:hAnsi="Helvetica" w:cs="Arial"/>
          <w:sz w:val="20"/>
        </w:rPr>
        <w:t xml:space="preserve">derinio, sudaryto iš </w:t>
      </w:r>
      <w:r w:rsidRPr="007F1A90">
        <w:rPr>
          <w:rFonts w:ascii="Helvetica" w:hAnsi="Helvetica" w:cs="Arial"/>
          <w:sz w:val="20"/>
        </w:rPr>
        <w:t>50–100 mg/m</w:t>
      </w:r>
      <w:r w:rsidR="005138DE" w:rsidRPr="007F1A90">
        <w:rPr>
          <w:rFonts w:ascii="Helvetica" w:hAnsi="Helvetica" w:cs="Arial"/>
          <w:sz w:val="20"/>
        </w:rPr>
        <w:t>²</w:t>
      </w:r>
      <w:r w:rsidRPr="007F1A90">
        <w:rPr>
          <w:rFonts w:ascii="Helvetica" w:hAnsi="Helvetica" w:cs="Arial"/>
          <w:sz w:val="20"/>
        </w:rPr>
        <w:t xml:space="preserve"> </w:t>
      </w:r>
      <w:proofErr w:type="spellStart"/>
      <w:r w:rsidRPr="007F1A90">
        <w:rPr>
          <w:rFonts w:ascii="Helvetica" w:hAnsi="Helvetica" w:cs="Arial"/>
          <w:sz w:val="20"/>
        </w:rPr>
        <w:t>oksaliplatino</w:t>
      </w:r>
      <w:r w:rsidR="005138DE" w:rsidRPr="007F1A90">
        <w:rPr>
          <w:rFonts w:ascii="Helvetica" w:hAnsi="Helvetica" w:cs="Arial"/>
          <w:sz w:val="20"/>
        </w:rPr>
        <w:t>s</w:t>
      </w:r>
      <w:proofErr w:type="spellEnd"/>
      <w:r w:rsidRPr="007F1A90">
        <w:rPr>
          <w:rFonts w:ascii="Helvetica" w:hAnsi="Helvetica" w:cs="Arial"/>
          <w:sz w:val="20"/>
        </w:rPr>
        <w:t>, 100–400 mg/m</w:t>
      </w:r>
      <w:r w:rsidR="005138DE" w:rsidRPr="007F1A90">
        <w:rPr>
          <w:rFonts w:ascii="Helvetica" w:hAnsi="Helvetica" w:cs="Arial"/>
          <w:sz w:val="20"/>
        </w:rPr>
        <w:t>²</w:t>
      </w:r>
      <w:r w:rsidRPr="007F1A90">
        <w:rPr>
          <w:rFonts w:ascii="Helvetica" w:hAnsi="Helvetica" w:cs="Arial"/>
          <w:sz w:val="20"/>
        </w:rPr>
        <w:t xml:space="preserve"> </w:t>
      </w:r>
      <w:proofErr w:type="spellStart"/>
      <w:r w:rsidRPr="007F1A90">
        <w:rPr>
          <w:rFonts w:ascii="Helvetica" w:hAnsi="Helvetica" w:cs="Arial"/>
          <w:sz w:val="20"/>
        </w:rPr>
        <w:t>leukovorino</w:t>
      </w:r>
      <w:proofErr w:type="spellEnd"/>
      <w:r w:rsidRPr="007F1A90">
        <w:rPr>
          <w:rFonts w:ascii="Helvetica" w:hAnsi="Helvetica" w:cs="Arial"/>
          <w:sz w:val="20"/>
        </w:rPr>
        <w:t xml:space="preserve"> ir 100–400 mg/m</w:t>
      </w:r>
      <w:r w:rsidR="005138DE" w:rsidRPr="007F1A90">
        <w:rPr>
          <w:rFonts w:ascii="Helvetica" w:hAnsi="Helvetica" w:cs="Arial"/>
          <w:sz w:val="20"/>
        </w:rPr>
        <w:t>²</w:t>
      </w:r>
      <w:r w:rsidRPr="007F1A90">
        <w:rPr>
          <w:rFonts w:ascii="Helvetica" w:hAnsi="Helvetica" w:cs="Arial"/>
          <w:sz w:val="20"/>
        </w:rPr>
        <w:t xml:space="preserve"> 5-</w:t>
      </w:r>
      <w:r w:rsidR="005134EC" w:rsidRPr="007F1A90">
        <w:rPr>
          <w:rFonts w:ascii="Helvetica" w:hAnsi="Helvetica" w:cs="Arial"/>
          <w:sz w:val="20"/>
        </w:rPr>
        <w:t>fluoruracilo</w:t>
      </w:r>
      <w:r w:rsidRPr="007F1A90">
        <w:rPr>
          <w:rFonts w:ascii="Helvetica" w:hAnsi="Helvetica" w:cs="Arial"/>
          <w:sz w:val="20"/>
        </w:rPr>
        <w:t xml:space="preserve"> (5-FU)</w:t>
      </w:r>
      <w:r w:rsidR="001D47FF" w:rsidRPr="007F1A90">
        <w:rPr>
          <w:rFonts w:ascii="Helvetica" w:hAnsi="Helvetica" w:cs="Arial"/>
          <w:sz w:val="20"/>
        </w:rPr>
        <w:t>,</w:t>
      </w:r>
      <w:r w:rsidRPr="007F1A90">
        <w:rPr>
          <w:rFonts w:ascii="Helvetica" w:hAnsi="Helvetica" w:cs="Arial"/>
          <w:sz w:val="20"/>
        </w:rPr>
        <w:t xml:space="preserve"> </w:t>
      </w:r>
      <w:r w:rsidR="005138DE" w:rsidRPr="007F1A90">
        <w:rPr>
          <w:rFonts w:ascii="Helvetica" w:hAnsi="Helvetica" w:cs="Arial"/>
          <w:sz w:val="20"/>
        </w:rPr>
        <w:t xml:space="preserve">intraveninę </w:t>
      </w:r>
      <w:r w:rsidRPr="007F1A90">
        <w:rPr>
          <w:rFonts w:ascii="Helvetica" w:hAnsi="Helvetica" w:cs="Arial"/>
          <w:sz w:val="20"/>
        </w:rPr>
        <w:t xml:space="preserve">(IV) </w:t>
      </w:r>
      <w:r w:rsidR="005138DE" w:rsidRPr="007F1A90">
        <w:rPr>
          <w:rFonts w:ascii="Helvetica" w:hAnsi="Helvetica" w:cs="Arial"/>
          <w:sz w:val="20"/>
        </w:rPr>
        <w:t xml:space="preserve">infuziją </w:t>
      </w:r>
      <w:r w:rsidRPr="007F1A90">
        <w:rPr>
          <w:rFonts w:ascii="Helvetica" w:hAnsi="Helvetica" w:cs="Arial"/>
          <w:sz w:val="20"/>
        </w:rPr>
        <w:t xml:space="preserve">arba IV </w:t>
      </w:r>
      <w:proofErr w:type="spellStart"/>
      <w:r w:rsidR="005138DE" w:rsidRPr="007F1A90">
        <w:rPr>
          <w:rFonts w:ascii="Helvetica" w:hAnsi="Helvetica" w:cs="Arial"/>
          <w:sz w:val="20"/>
        </w:rPr>
        <w:t>bol</w:t>
      </w:r>
      <w:r w:rsidR="005134EC" w:rsidRPr="007F1A90">
        <w:rPr>
          <w:rFonts w:ascii="Helvetica" w:hAnsi="Helvetica" w:cs="Arial"/>
          <w:sz w:val="20"/>
        </w:rPr>
        <w:t>i</w:t>
      </w:r>
      <w:r w:rsidR="005138DE" w:rsidRPr="007F1A90">
        <w:rPr>
          <w:rFonts w:ascii="Helvetica" w:hAnsi="Helvetica" w:cs="Arial"/>
          <w:sz w:val="20"/>
        </w:rPr>
        <w:t>usą</w:t>
      </w:r>
      <w:proofErr w:type="spellEnd"/>
      <w:r w:rsidRPr="007F1A90">
        <w:rPr>
          <w:rFonts w:ascii="Helvetica" w:hAnsi="Helvetica" w:cs="Arial"/>
          <w:sz w:val="20"/>
        </w:rPr>
        <w:t xml:space="preserve">, po kurio </w:t>
      </w:r>
      <w:r w:rsidR="005138DE" w:rsidRPr="007F1A90">
        <w:rPr>
          <w:rFonts w:ascii="Helvetica" w:hAnsi="Helvetica" w:cs="Arial"/>
          <w:sz w:val="20"/>
        </w:rPr>
        <w:t xml:space="preserve">įvedama </w:t>
      </w:r>
      <w:r w:rsidRPr="007F1A90">
        <w:rPr>
          <w:rFonts w:ascii="Helvetica" w:hAnsi="Helvetica" w:cs="Arial"/>
          <w:sz w:val="20"/>
        </w:rPr>
        <w:t>2000–2500 mg/m</w:t>
      </w:r>
      <w:r w:rsidR="005138DE" w:rsidRPr="007F1A90">
        <w:rPr>
          <w:rFonts w:ascii="Helvetica" w:hAnsi="Helvetica" w:cs="Arial"/>
          <w:sz w:val="20"/>
        </w:rPr>
        <w:t>²</w:t>
      </w:r>
      <w:r w:rsidRPr="007F1A90">
        <w:rPr>
          <w:rFonts w:ascii="Helvetica" w:hAnsi="Helvetica" w:cs="Arial"/>
          <w:sz w:val="20"/>
        </w:rPr>
        <w:t xml:space="preserve"> 5-FU per 44–48 valandas</w:t>
      </w:r>
      <w:r w:rsidR="005138DE" w:rsidRPr="007F1A90">
        <w:rPr>
          <w:rFonts w:ascii="Helvetica" w:hAnsi="Helvetica" w:cs="Arial"/>
          <w:sz w:val="20"/>
        </w:rPr>
        <w:t xml:space="preserve"> IV infuzijos būdu</w:t>
      </w:r>
      <w:r w:rsidRPr="007F1A90">
        <w:rPr>
          <w:rFonts w:ascii="Helvetica" w:hAnsi="Helvetica" w:cs="Arial"/>
          <w:sz w:val="20"/>
        </w:rPr>
        <w:t>.</w:t>
      </w:r>
    </w:p>
    <w:p w14:paraId="17C703F2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</w:p>
    <w:p w14:paraId="65BE4FC9" w14:textId="682568FC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2. Antikūnas, skirtas naudoti pagal 1 punktą, kur anti-FGFR2-Illb antikūnas apima sunkiąją grandinę, </w:t>
      </w:r>
      <w:r w:rsidR="005138DE" w:rsidRPr="007F1A90">
        <w:rPr>
          <w:rFonts w:ascii="Helvetica" w:hAnsi="Helvetica" w:cs="Arial"/>
          <w:sz w:val="20"/>
        </w:rPr>
        <w:t>apimančią</w:t>
      </w:r>
      <w:r w:rsidRPr="007F1A90">
        <w:rPr>
          <w:rFonts w:ascii="Helvetica" w:hAnsi="Helvetica" w:cs="Arial"/>
          <w:sz w:val="20"/>
        </w:rPr>
        <w:t xml:space="preserve"> aminorūgščių </w:t>
      </w:r>
      <w:r w:rsidR="005138DE" w:rsidRPr="007F1A90">
        <w:rPr>
          <w:rFonts w:ascii="Helvetica" w:hAnsi="Helvetica" w:cs="Arial"/>
          <w:sz w:val="20"/>
        </w:rPr>
        <w:t>seką</w:t>
      </w:r>
      <w:r w:rsidRPr="007F1A90">
        <w:rPr>
          <w:rFonts w:ascii="Helvetica" w:hAnsi="Helvetica" w:cs="Arial"/>
          <w:sz w:val="20"/>
        </w:rPr>
        <w:t xml:space="preserve">, kuri yra bent 95 % identiška aminorūgščių sekai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4; lengvą</w:t>
      </w:r>
      <w:r w:rsidR="005138DE" w:rsidRPr="007F1A90">
        <w:rPr>
          <w:rFonts w:ascii="Helvetica" w:hAnsi="Helvetica" w:cs="Arial"/>
          <w:sz w:val="20"/>
        </w:rPr>
        <w:t>ją</w:t>
      </w:r>
      <w:r w:rsidRPr="007F1A90">
        <w:rPr>
          <w:rFonts w:ascii="Helvetica" w:hAnsi="Helvetica" w:cs="Arial"/>
          <w:sz w:val="20"/>
        </w:rPr>
        <w:t xml:space="preserve"> grandinę, </w:t>
      </w:r>
      <w:r w:rsidR="005138DE" w:rsidRPr="007F1A90">
        <w:rPr>
          <w:rFonts w:ascii="Helvetica" w:hAnsi="Helvetica" w:cs="Arial"/>
          <w:sz w:val="20"/>
        </w:rPr>
        <w:t>apimančią</w:t>
      </w:r>
      <w:r w:rsidRPr="007F1A90">
        <w:rPr>
          <w:rFonts w:ascii="Helvetica" w:hAnsi="Helvetica" w:cs="Arial"/>
          <w:sz w:val="20"/>
        </w:rPr>
        <w:t xml:space="preserve"> aminorūgščių </w:t>
      </w:r>
      <w:r w:rsidR="005138DE" w:rsidRPr="007F1A90">
        <w:rPr>
          <w:rFonts w:ascii="Helvetica" w:hAnsi="Helvetica" w:cs="Arial"/>
          <w:sz w:val="20"/>
        </w:rPr>
        <w:t>seką</w:t>
      </w:r>
      <w:r w:rsidRPr="007F1A90">
        <w:rPr>
          <w:rFonts w:ascii="Helvetica" w:hAnsi="Helvetica" w:cs="Arial"/>
          <w:sz w:val="20"/>
        </w:rPr>
        <w:t xml:space="preserve">, kuri yra </w:t>
      </w:r>
      <w:r w:rsidR="005138DE" w:rsidRPr="007F1A90">
        <w:rPr>
          <w:rFonts w:ascii="Helvetica" w:hAnsi="Helvetica" w:cs="Arial"/>
          <w:sz w:val="20"/>
        </w:rPr>
        <w:t>bent</w:t>
      </w:r>
      <w:r w:rsidRPr="007F1A90">
        <w:rPr>
          <w:rFonts w:ascii="Helvetica" w:hAnsi="Helvetica" w:cs="Arial"/>
          <w:sz w:val="20"/>
        </w:rPr>
        <w:t xml:space="preserve"> 95 % identiška aminorūgščių sekai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5; sunkią</w:t>
      </w:r>
      <w:r w:rsidR="005138DE" w:rsidRPr="007F1A90">
        <w:rPr>
          <w:rFonts w:ascii="Helvetica" w:hAnsi="Helvetica" w:cs="Arial"/>
          <w:sz w:val="20"/>
        </w:rPr>
        <w:t>ją</w:t>
      </w:r>
      <w:r w:rsidRPr="007F1A90">
        <w:rPr>
          <w:rFonts w:ascii="Helvetica" w:hAnsi="Helvetica" w:cs="Arial"/>
          <w:sz w:val="20"/>
        </w:rPr>
        <w:t xml:space="preserve"> grandinę, </w:t>
      </w:r>
      <w:r w:rsidR="005138DE" w:rsidRPr="007F1A90">
        <w:rPr>
          <w:rFonts w:ascii="Helvetica" w:hAnsi="Helvetica" w:cs="Arial"/>
          <w:sz w:val="20"/>
        </w:rPr>
        <w:t>apimančią</w:t>
      </w:r>
      <w:r w:rsidRPr="007F1A90">
        <w:rPr>
          <w:rFonts w:ascii="Helvetica" w:hAnsi="Helvetica" w:cs="Arial"/>
          <w:sz w:val="20"/>
        </w:rPr>
        <w:t xml:space="preserve"> aminorūgščių </w:t>
      </w:r>
      <w:r w:rsidR="005138DE" w:rsidRPr="007F1A90">
        <w:rPr>
          <w:rFonts w:ascii="Helvetica" w:hAnsi="Helvetica" w:cs="Arial"/>
          <w:sz w:val="20"/>
        </w:rPr>
        <w:t>seką</w:t>
      </w:r>
      <w:r w:rsidRPr="007F1A90">
        <w:rPr>
          <w:rFonts w:ascii="Helvetica" w:hAnsi="Helvetica" w:cs="Arial"/>
          <w:sz w:val="20"/>
        </w:rPr>
        <w:t xml:space="preserve">, kuri yra </w:t>
      </w:r>
      <w:r w:rsidR="005138DE" w:rsidRPr="007F1A90">
        <w:rPr>
          <w:rFonts w:ascii="Helvetica" w:hAnsi="Helvetica" w:cs="Arial"/>
          <w:sz w:val="20"/>
        </w:rPr>
        <w:t>bent</w:t>
      </w:r>
      <w:r w:rsidRPr="007F1A90">
        <w:rPr>
          <w:rFonts w:ascii="Helvetica" w:hAnsi="Helvetica" w:cs="Arial"/>
          <w:sz w:val="20"/>
        </w:rPr>
        <w:t xml:space="preserve"> 95 % identiška aminorūgščių sekai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2; arba lengvą</w:t>
      </w:r>
      <w:r w:rsidR="005138DE" w:rsidRPr="007F1A90">
        <w:rPr>
          <w:rFonts w:ascii="Helvetica" w:hAnsi="Helvetica" w:cs="Arial"/>
          <w:sz w:val="20"/>
        </w:rPr>
        <w:t>ją</w:t>
      </w:r>
      <w:r w:rsidRPr="007F1A90">
        <w:rPr>
          <w:rFonts w:ascii="Helvetica" w:hAnsi="Helvetica" w:cs="Arial"/>
          <w:sz w:val="20"/>
        </w:rPr>
        <w:t xml:space="preserve"> grandinę, </w:t>
      </w:r>
      <w:r w:rsidR="005138DE" w:rsidRPr="007F1A90">
        <w:rPr>
          <w:rFonts w:ascii="Helvetica" w:hAnsi="Helvetica" w:cs="Arial"/>
          <w:sz w:val="20"/>
        </w:rPr>
        <w:t>apimančią</w:t>
      </w:r>
      <w:r w:rsidRPr="007F1A90">
        <w:rPr>
          <w:rFonts w:ascii="Helvetica" w:hAnsi="Helvetica" w:cs="Arial"/>
          <w:sz w:val="20"/>
        </w:rPr>
        <w:t xml:space="preserve"> aminorūgščių </w:t>
      </w:r>
      <w:r w:rsidR="00404983" w:rsidRPr="007F1A90">
        <w:rPr>
          <w:rFonts w:ascii="Helvetica" w:hAnsi="Helvetica" w:cs="Arial"/>
          <w:sz w:val="20"/>
        </w:rPr>
        <w:t>seką</w:t>
      </w:r>
      <w:r w:rsidRPr="007F1A90">
        <w:rPr>
          <w:rFonts w:ascii="Helvetica" w:hAnsi="Helvetica" w:cs="Arial"/>
          <w:sz w:val="20"/>
        </w:rPr>
        <w:t xml:space="preserve">, kuri yra </w:t>
      </w:r>
      <w:r w:rsidR="00404983" w:rsidRPr="007F1A90">
        <w:rPr>
          <w:rFonts w:ascii="Helvetica" w:hAnsi="Helvetica" w:cs="Arial"/>
          <w:sz w:val="20"/>
        </w:rPr>
        <w:t>bent</w:t>
      </w:r>
      <w:r w:rsidRPr="007F1A90">
        <w:rPr>
          <w:rFonts w:ascii="Helvetica" w:hAnsi="Helvetica" w:cs="Arial"/>
          <w:sz w:val="20"/>
        </w:rPr>
        <w:t xml:space="preserve"> 95 % identiška aminorūgščių sekai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3.</w:t>
      </w:r>
    </w:p>
    <w:p w14:paraId="179A51E6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5107D0B9" w14:textId="7E2693C6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3. Antikūnas, skirtas naudoti pagal 1 arba 2 punktą, kur skrandžio vėžys yra lokaliai pažengęs, </w:t>
      </w:r>
      <w:r w:rsidR="00404983" w:rsidRPr="007F1A90">
        <w:rPr>
          <w:rFonts w:ascii="Helvetica" w:hAnsi="Helvetica" w:cs="Arial"/>
          <w:sz w:val="20"/>
        </w:rPr>
        <w:t xml:space="preserve">neoperuotinas </w:t>
      </w:r>
      <w:r w:rsidRPr="007F1A90">
        <w:rPr>
          <w:rFonts w:ascii="Helvetica" w:hAnsi="Helvetica" w:cs="Arial"/>
          <w:sz w:val="20"/>
        </w:rPr>
        <w:t xml:space="preserve">arba </w:t>
      </w:r>
      <w:proofErr w:type="spellStart"/>
      <w:r w:rsidR="00404983" w:rsidRPr="007F1A90">
        <w:rPr>
          <w:rFonts w:ascii="Helvetica" w:hAnsi="Helvetica" w:cs="Arial"/>
          <w:sz w:val="20"/>
        </w:rPr>
        <w:t>metastazinis</w:t>
      </w:r>
      <w:proofErr w:type="spellEnd"/>
      <w:r w:rsidRPr="007F1A90">
        <w:rPr>
          <w:rFonts w:ascii="Helvetica" w:hAnsi="Helvetica" w:cs="Arial"/>
          <w:sz w:val="20"/>
        </w:rPr>
        <w:t>.</w:t>
      </w:r>
    </w:p>
    <w:p w14:paraId="603E7FF0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33DF28F7" w14:textId="29002185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4. Antikūnas, skirtas naudoti pagal bet kurį iš 1–3 punktų, kur anti-FGFR2-Illb antikūnas </w:t>
      </w:r>
      <w:r w:rsidR="00404983" w:rsidRPr="007F1A90">
        <w:rPr>
          <w:rFonts w:ascii="Helvetica" w:hAnsi="Helvetica" w:cs="Arial"/>
          <w:sz w:val="20"/>
        </w:rPr>
        <w:t xml:space="preserve">yra įvedamas </w:t>
      </w:r>
      <w:r w:rsidRPr="007F1A90">
        <w:rPr>
          <w:rFonts w:ascii="Helvetica" w:hAnsi="Helvetica" w:cs="Arial"/>
          <w:sz w:val="20"/>
        </w:rPr>
        <w:t xml:space="preserve">15 mg/kg doze </w:t>
      </w:r>
      <w:r w:rsidR="00404983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>kartą per 14 dienų.</w:t>
      </w:r>
    </w:p>
    <w:p w14:paraId="35224E7C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13336AD1" w14:textId="76A8BC15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>5. Antikūnas, skirtas naudoti pagal bet kurį iš 1–3 punktų, kur bent viena</w:t>
      </w:r>
      <w:r w:rsidR="00404983" w:rsidRPr="007F1A90">
        <w:rPr>
          <w:rFonts w:ascii="Helvetica" w:hAnsi="Helvetica" w:cs="Arial"/>
          <w:sz w:val="20"/>
        </w:rPr>
        <w:t xml:space="preserve"> iš</w:t>
      </w:r>
      <w:r w:rsidRPr="007F1A90">
        <w:rPr>
          <w:rFonts w:ascii="Helvetica" w:hAnsi="Helvetica" w:cs="Arial"/>
          <w:sz w:val="20"/>
        </w:rPr>
        <w:t xml:space="preserve"> 3–8 mg/kg, 5–8 mg/kg, 7–8 mg/kg, 3 mg/kg, 4 mg/kg, 5 mg/kg, 6 mg/kg, 7 mg/kg arba 8 mg/kg anti-FGFR2-Illb antikūno </w:t>
      </w:r>
      <w:r w:rsidR="00404983" w:rsidRPr="007F1A90">
        <w:rPr>
          <w:rFonts w:ascii="Helvetica" w:hAnsi="Helvetica" w:cs="Arial"/>
          <w:sz w:val="20"/>
        </w:rPr>
        <w:t xml:space="preserve">tarpinių dozių </w:t>
      </w:r>
      <w:r w:rsidRPr="007F1A90">
        <w:rPr>
          <w:rFonts w:ascii="Helvetica" w:hAnsi="Helvetica" w:cs="Arial"/>
          <w:sz w:val="20"/>
        </w:rPr>
        <w:t xml:space="preserve">yra </w:t>
      </w:r>
      <w:r w:rsidR="00404983" w:rsidRPr="007F1A90">
        <w:rPr>
          <w:rFonts w:ascii="Helvetica" w:hAnsi="Helvetica" w:cs="Arial"/>
          <w:sz w:val="20"/>
        </w:rPr>
        <w:t xml:space="preserve">įvedama </w:t>
      </w:r>
      <w:r w:rsidRPr="007F1A90">
        <w:rPr>
          <w:rFonts w:ascii="Helvetica" w:hAnsi="Helvetica" w:cs="Arial"/>
          <w:sz w:val="20"/>
        </w:rPr>
        <w:t>tarp dviejų 10–15 mg/kg anti-FGFR2-IIIb antikūno dozių.</w:t>
      </w:r>
    </w:p>
    <w:p w14:paraId="5D8FC8D8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36959AA9" w14:textId="7075A136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>6. Antikūnas, skirtas naudoti pagal 5 punktą, kur:</w:t>
      </w:r>
    </w:p>
    <w:p w14:paraId="245B0ADB" w14:textId="56E9A8E3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(i) tarpinė 5–8 mg/kg dozė </w:t>
      </w:r>
      <w:r w:rsidR="00D65B20" w:rsidRPr="007F1A90">
        <w:rPr>
          <w:rFonts w:ascii="Helvetica" w:hAnsi="Helvetica" w:cs="Arial"/>
          <w:sz w:val="20"/>
        </w:rPr>
        <w:t xml:space="preserve">yra įvedama </w:t>
      </w:r>
      <w:r w:rsidRPr="007F1A90">
        <w:rPr>
          <w:rFonts w:ascii="Helvetica" w:hAnsi="Helvetica" w:cs="Arial"/>
          <w:sz w:val="20"/>
        </w:rPr>
        <w:t xml:space="preserve">praėjus 6–8 dienoms po bent vienos 10–15 mg/kg anti-FGFR2-Illb antikūno dozės ir 6–8 </w:t>
      </w:r>
      <w:r w:rsidR="0039155C" w:rsidRPr="007F1A90">
        <w:rPr>
          <w:rFonts w:ascii="Helvetica" w:hAnsi="Helvetica" w:cs="Arial"/>
          <w:sz w:val="20"/>
        </w:rPr>
        <w:t xml:space="preserve">dienos </w:t>
      </w:r>
      <w:r w:rsidRPr="007F1A90">
        <w:rPr>
          <w:rFonts w:ascii="Helvetica" w:hAnsi="Helvetica" w:cs="Arial"/>
          <w:sz w:val="20"/>
        </w:rPr>
        <w:t>prieš kitą 10–15 mg/kg anti-FGFR2-Illb antikūno dozę;</w:t>
      </w:r>
    </w:p>
    <w:p w14:paraId="53BC35A5" w14:textId="06AFAE97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(ii) 15 mg/kg anti-FGFR2-Illb antikūnas </w:t>
      </w:r>
      <w:r w:rsidR="00D65B20" w:rsidRPr="007F1A90">
        <w:rPr>
          <w:rFonts w:ascii="Helvetica" w:hAnsi="Helvetica" w:cs="Arial"/>
          <w:sz w:val="20"/>
        </w:rPr>
        <w:t>yra įvedamas</w:t>
      </w:r>
      <w:r w:rsidRPr="007F1A90">
        <w:rPr>
          <w:rFonts w:ascii="Helvetica" w:hAnsi="Helvetica" w:cs="Arial"/>
          <w:sz w:val="20"/>
        </w:rPr>
        <w:t xml:space="preserve"> kas 14 dienų, o tarpinė 7–8 mg/kg dozė </w:t>
      </w:r>
      <w:r w:rsidR="00D65B20" w:rsidRPr="007F1A90">
        <w:rPr>
          <w:rFonts w:ascii="Helvetica" w:hAnsi="Helvetica" w:cs="Arial"/>
          <w:sz w:val="20"/>
        </w:rPr>
        <w:t>yra įvedama</w:t>
      </w:r>
      <w:r w:rsidRPr="007F1A90">
        <w:rPr>
          <w:rFonts w:ascii="Helvetica" w:hAnsi="Helvetica" w:cs="Arial"/>
          <w:sz w:val="20"/>
        </w:rPr>
        <w:t xml:space="preserve"> praėjus 7 dienoms po bent vienos 15 mg/kg dozės ir 7 dienos prieš kitą 15 mg/kg anti-FGFR2-Illb antikūno dozę;</w:t>
      </w:r>
    </w:p>
    <w:p w14:paraId="7662DCB8" w14:textId="7462F76F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lastRenderedPageBreak/>
        <w:t xml:space="preserve">(iii) 15 mg/kg anti-FGFR2-Illb antikūnas </w:t>
      </w:r>
      <w:r w:rsidR="00D65B20" w:rsidRPr="007F1A90">
        <w:rPr>
          <w:rFonts w:ascii="Helvetica" w:hAnsi="Helvetica" w:cs="Arial"/>
          <w:sz w:val="20"/>
        </w:rPr>
        <w:t>yra įvedamas</w:t>
      </w:r>
      <w:r w:rsidRPr="007F1A90">
        <w:rPr>
          <w:rFonts w:ascii="Helvetica" w:hAnsi="Helvetica" w:cs="Arial"/>
          <w:sz w:val="20"/>
        </w:rPr>
        <w:t xml:space="preserve"> kas 14 dienų, o tarpinė 7,5 mg/kg dozė </w:t>
      </w:r>
      <w:r w:rsidR="00D65B20" w:rsidRPr="007F1A90">
        <w:rPr>
          <w:rFonts w:ascii="Helvetica" w:hAnsi="Helvetica" w:cs="Arial"/>
          <w:sz w:val="20"/>
        </w:rPr>
        <w:t>yra įvedama</w:t>
      </w:r>
      <w:r w:rsidRPr="007F1A90">
        <w:rPr>
          <w:rFonts w:ascii="Helvetica" w:hAnsi="Helvetica" w:cs="Arial"/>
          <w:sz w:val="20"/>
        </w:rPr>
        <w:t xml:space="preserve"> praėjus 7 dienoms po bent vienos 15 mg/kg dozės ir 7 </w:t>
      </w:r>
      <w:r w:rsidR="0039155C" w:rsidRPr="007F1A90">
        <w:rPr>
          <w:rFonts w:ascii="Helvetica" w:hAnsi="Helvetica" w:cs="Arial"/>
          <w:sz w:val="20"/>
        </w:rPr>
        <w:t xml:space="preserve">dienos </w:t>
      </w:r>
      <w:r w:rsidRPr="007F1A90">
        <w:rPr>
          <w:rFonts w:ascii="Helvetica" w:hAnsi="Helvetica" w:cs="Arial"/>
          <w:sz w:val="20"/>
        </w:rPr>
        <w:t>prieš kitą 15 mg/kg anti-FGFR2-Illb antikūno dozę; ir (arba)</w:t>
      </w:r>
    </w:p>
    <w:p w14:paraId="49BA809F" w14:textId="7D51459B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(iv) tarpinė anti-FGFR2-Illb antikūno dozė </w:t>
      </w:r>
      <w:r w:rsidR="00D65B20" w:rsidRPr="007F1A90">
        <w:rPr>
          <w:rFonts w:ascii="Helvetica" w:hAnsi="Helvetica" w:cs="Arial"/>
          <w:sz w:val="20"/>
        </w:rPr>
        <w:t>yra įvedama</w:t>
      </w:r>
      <w:r w:rsidRPr="007F1A90">
        <w:rPr>
          <w:rFonts w:ascii="Helvetica" w:hAnsi="Helvetica" w:cs="Arial"/>
          <w:sz w:val="20"/>
        </w:rPr>
        <w:t xml:space="preserve"> po pirmojo 10–15 mg/kg anti-FGFR2-Illb antikūno dozės </w:t>
      </w:r>
      <w:r w:rsidR="00D65B20" w:rsidRPr="007F1A90">
        <w:rPr>
          <w:rFonts w:ascii="Helvetica" w:hAnsi="Helvetica" w:cs="Arial"/>
          <w:sz w:val="20"/>
        </w:rPr>
        <w:t>įvedimo pagal bet kurį</w:t>
      </w:r>
      <w:r w:rsidRPr="007F1A90">
        <w:rPr>
          <w:rFonts w:ascii="Helvetica" w:hAnsi="Helvetica" w:cs="Arial"/>
          <w:sz w:val="20"/>
        </w:rPr>
        <w:t xml:space="preserve"> iš (i) – (iii) atvejų.</w:t>
      </w:r>
    </w:p>
    <w:p w14:paraId="04E39C74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</w:p>
    <w:p w14:paraId="12E51E52" w14:textId="2B0FEE1E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7. Antikūnas, skirtas naudoti pagal 6 punktą, kur anti-FGFR2-Illb antikūnas </w:t>
      </w:r>
      <w:r w:rsidR="00D65B20" w:rsidRPr="007F1A90">
        <w:rPr>
          <w:rFonts w:ascii="Helvetica" w:hAnsi="Helvetica" w:cs="Arial"/>
          <w:sz w:val="20"/>
        </w:rPr>
        <w:t>yra įvedamas</w:t>
      </w:r>
      <w:r w:rsidRPr="007F1A90">
        <w:rPr>
          <w:rFonts w:ascii="Helvetica" w:hAnsi="Helvetica" w:cs="Arial"/>
          <w:sz w:val="20"/>
        </w:rPr>
        <w:t xml:space="preserve"> 15 mg/kg doze </w:t>
      </w:r>
      <w:r w:rsidR="00D65B20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>kartą per 14 dienų</w:t>
      </w:r>
      <w:r w:rsidR="00D65B20" w:rsidRPr="007F1A90">
        <w:rPr>
          <w:rFonts w:ascii="Helvetica" w:hAnsi="Helvetica" w:cs="Arial"/>
          <w:sz w:val="20"/>
        </w:rPr>
        <w:t>,</w:t>
      </w:r>
      <w:r w:rsidRPr="007F1A90">
        <w:rPr>
          <w:rFonts w:ascii="Helvetica" w:hAnsi="Helvetica" w:cs="Arial"/>
          <w:sz w:val="20"/>
        </w:rPr>
        <w:t xml:space="preserve"> ir kur</w:t>
      </w:r>
      <w:r w:rsidR="0039155C" w:rsidRPr="007F1A90">
        <w:rPr>
          <w:rFonts w:ascii="Helvetica" w:hAnsi="Helvetica" w:cs="Arial"/>
          <w:sz w:val="20"/>
        </w:rPr>
        <w:t>,</w:t>
      </w:r>
      <w:r w:rsidRPr="007F1A90">
        <w:rPr>
          <w:rFonts w:ascii="Helvetica" w:hAnsi="Helvetica" w:cs="Arial"/>
          <w:sz w:val="20"/>
        </w:rPr>
        <w:t xml:space="preserve"> </w:t>
      </w:r>
      <w:r w:rsidR="0039155C" w:rsidRPr="007F1A90">
        <w:rPr>
          <w:rFonts w:ascii="Helvetica" w:hAnsi="Helvetica" w:cs="Arial"/>
          <w:sz w:val="20"/>
        </w:rPr>
        <w:t xml:space="preserve">praėjus </w:t>
      </w:r>
      <w:r w:rsidRPr="007F1A90">
        <w:rPr>
          <w:rFonts w:ascii="Helvetica" w:hAnsi="Helvetica" w:cs="Arial"/>
          <w:sz w:val="20"/>
        </w:rPr>
        <w:t xml:space="preserve">6–8 </w:t>
      </w:r>
      <w:r w:rsidR="0039155C" w:rsidRPr="007F1A90">
        <w:rPr>
          <w:rFonts w:ascii="Helvetica" w:hAnsi="Helvetica" w:cs="Arial"/>
          <w:sz w:val="20"/>
        </w:rPr>
        <w:t xml:space="preserve">dienoms </w:t>
      </w:r>
      <w:r w:rsidRPr="007F1A90">
        <w:rPr>
          <w:rFonts w:ascii="Helvetica" w:hAnsi="Helvetica" w:cs="Arial"/>
          <w:sz w:val="20"/>
        </w:rPr>
        <w:t xml:space="preserve">po pirmojo anti-FGFR2-Illb antikūno </w:t>
      </w:r>
      <w:r w:rsidR="00D65B20" w:rsidRPr="007F1A90">
        <w:rPr>
          <w:rFonts w:ascii="Helvetica" w:hAnsi="Helvetica" w:cs="Arial"/>
          <w:sz w:val="20"/>
        </w:rPr>
        <w:t>įvedimo</w:t>
      </w:r>
      <w:r w:rsidR="0039155C" w:rsidRPr="007F1A90">
        <w:rPr>
          <w:rFonts w:ascii="Helvetica" w:hAnsi="Helvetica" w:cs="Arial"/>
          <w:sz w:val="20"/>
        </w:rPr>
        <w:t>,</w:t>
      </w:r>
      <w:r w:rsidR="00D65B20" w:rsidRPr="007F1A90">
        <w:rPr>
          <w:rFonts w:ascii="Helvetica" w:hAnsi="Helvetica" w:cs="Arial"/>
          <w:sz w:val="20"/>
        </w:rPr>
        <w:t xml:space="preserve"> </w:t>
      </w:r>
      <w:r w:rsidRPr="007F1A90">
        <w:rPr>
          <w:rFonts w:ascii="Helvetica" w:hAnsi="Helvetica" w:cs="Arial"/>
          <w:sz w:val="20"/>
        </w:rPr>
        <w:t xml:space="preserve">anti-FGFR2-Illb antikūnas toliau </w:t>
      </w:r>
      <w:r w:rsidR="005134EC" w:rsidRPr="007F1A90">
        <w:rPr>
          <w:rFonts w:ascii="Helvetica" w:hAnsi="Helvetica" w:cs="Arial"/>
          <w:sz w:val="20"/>
        </w:rPr>
        <w:t>yra įvedamas</w:t>
      </w:r>
      <w:r w:rsidRPr="007F1A90">
        <w:rPr>
          <w:rFonts w:ascii="Helvetica" w:hAnsi="Helvetica" w:cs="Arial"/>
          <w:sz w:val="20"/>
        </w:rPr>
        <w:t xml:space="preserve"> 7,5 mg/kg doze.</w:t>
      </w:r>
    </w:p>
    <w:p w14:paraId="2EBBB6F9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7AC8D8FF" w14:textId="62ABE924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8. Antikūnas, skirtas naudoti pagal 7 punktą, kur anti-FGFR2-Illb antikūnas </w:t>
      </w:r>
      <w:r w:rsidR="005134EC" w:rsidRPr="007F1A90">
        <w:rPr>
          <w:rFonts w:ascii="Helvetica" w:hAnsi="Helvetica" w:cs="Arial"/>
          <w:sz w:val="20"/>
        </w:rPr>
        <w:t>yra įvedamas</w:t>
      </w:r>
      <w:r w:rsidRPr="007F1A90">
        <w:rPr>
          <w:rFonts w:ascii="Helvetica" w:hAnsi="Helvetica" w:cs="Arial"/>
          <w:sz w:val="20"/>
        </w:rPr>
        <w:t xml:space="preserve"> 15 mg/kg doze </w:t>
      </w:r>
      <w:r w:rsidR="005134EC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14 dienų, </w:t>
      </w:r>
      <w:r w:rsidR="005134EC" w:rsidRPr="007F1A90">
        <w:rPr>
          <w:rFonts w:ascii="Helvetica" w:hAnsi="Helvetica" w:cs="Arial"/>
          <w:sz w:val="20"/>
        </w:rPr>
        <w:t xml:space="preserve">ir kur, </w:t>
      </w:r>
      <w:r w:rsidRPr="007F1A90">
        <w:rPr>
          <w:rFonts w:ascii="Helvetica" w:hAnsi="Helvetica" w:cs="Arial"/>
          <w:sz w:val="20"/>
        </w:rPr>
        <w:t xml:space="preserve">praėjus 7 dienoms po pirmojo anti-FGFR2-Illb antikūno </w:t>
      </w:r>
      <w:r w:rsidR="005134EC" w:rsidRPr="007F1A90">
        <w:rPr>
          <w:rFonts w:ascii="Helvetica" w:hAnsi="Helvetica" w:cs="Arial"/>
          <w:sz w:val="20"/>
        </w:rPr>
        <w:t>įvedimo</w:t>
      </w:r>
      <w:r w:rsidRPr="007F1A90">
        <w:rPr>
          <w:rFonts w:ascii="Helvetica" w:hAnsi="Helvetica" w:cs="Arial"/>
          <w:sz w:val="20"/>
        </w:rPr>
        <w:t xml:space="preserve">, anti-FGFR2-Illb antikūnas </w:t>
      </w:r>
      <w:r w:rsidR="005134EC" w:rsidRPr="007F1A90">
        <w:rPr>
          <w:rFonts w:ascii="Helvetica" w:hAnsi="Helvetica" w:cs="Arial"/>
          <w:sz w:val="20"/>
        </w:rPr>
        <w:t>yra įvedamas</w:t>
      </w:r>
      <w:r w:rsidRPr="007F1A90">
        <w:rPr>
          <w:rFonts w:ascii="Helvetica" w:hAnsi="Helvetica" w:cs="Arial"/>
          <w:sz w:val="20"/>
        </w:rPr>
        <w:t xml:space="preserve"> 7,5 mg/kg doze.</w:t>
      </w:r>
    </w:p>
    <w:p w14:paraId="7B764982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0639AB19" w14:textId="25215FD5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9. Antikūnas, skirtas naudoti pagal bet kurį iš 1–8 punktų, kur chemoterapijos </w:t>
      </w:r>
      <w:r w:rsidR="005134EC" w:rsidRPr="007F1A90">
        <w:rPr>
          <w:rFonts w:ascii="Helvetica" w:hAnsi="Helvetica" w:cs="Arial"/>
          <w:sz w:val="20"/>
        </w:rPr>
        <w:t xml:space="preserve">režimas </w:t>
      </w:r>
      <w:r w:rsidRPr="007F1A90">
        <w:rPr>
          <w:rFonts w:ascii="Helvetica" w:hAnsi="Helvetica" w:cs="Arial"/>
          <w:sz w:val="20"/>
        </w:rPr>
        <w:t>apima 85 mg/m</w:t>
      </w:r>
      <w:r w:rsidR="005134EC" w:rsidRPr="007F1A90">
        <w:rPr>
          <w:rFonts w:ascii="Helvetica" w:hAnsi="Helvetica" w:cs="Arial"/>
          <w:sz w:val="20"/>
        </w:rPr>
        <w:t>²</w:t>
      </w:r>
      <w:r w:rsidRPr="007F1A90">
        <w:rPr>
          <w:rFonts w:ascii="Helvetica" w:hAnsi="Helvetica" w:cs="Arial"/>
          <w:sz w:val="20"/>
        </w:rPr>
        <w:t xml:space="preserve"> </w:t>
      </w:r>
      <w:proofErr w:type="spellStart"/>
      <w:r w:rsidRPr="007F1A90">
        <w:rPr>
          <w:rFonts w:ascii="Helvetica" w:hAnsi="Helvetica" w:cs="Arial"/>
          <w:sz w:val="20"/>
        </w:rPr>
        <w:t>oksaliplatino</w:t>
      </w:r>
      <w:r w:rsidR="005134EC" w:rsidRPr="007F1A90">
        <w:rPr>
          <w:rFonts w:ascii="Helvetica" w:hAnsi="Helvetica" w:cs="Arial"/>
          <w:sz w:val="20"/>
        </w:rPr>
        <w:t>s</w:t>
      </w:r>
      <w:proofErr w:type="spellEnd"/>
      <w:r w:rsidRPr="007F1A90">
        <w:rPr>
          <w:rFonts w:ascii="Helvetica" w:hAnsi="Helvetica" w:cs="Arial"/>
          <w:sz w:val="20"/>
        </w:rPr>
        <w:t>, 400 mg/m</w:t>
      </w:r>
      <w:r w:rsidR="005134EC" w:rsidRPr="007F1A90">
        <w:rPr>
          <w:rFonts w:ascii="Helvetica" w:hAnsi="Helvetica" w:cs="Arial"/>
          <w:sz w:val="20"/>
        </w:rPr>
        <w:t>²</w:t>
      </w:r>
      <w:r w:rsidRPr="007F1A90">
        <w:rPr>
          <w:rFonts w:ascii="Helvetica" w:hAnsi="Helvetica" w:cs="Arial"/>
          <w:sz w:val="20"/>
        </w:rPr>
        <w:t xml:space="preserve"> </w:t>
      </w:r>
      <w:proofErr w:type="spellStart"/>
      <w:r w:rsidRPr="007F1A90">
        <w:rPr>
          <w:rFonts w:ascii="Helvetica" w:hAnsi="Helvetica" w:cs="Arial"/>
          <w:sz w:val="20"/>
        </w:rPr>
        <w:t>leukovorino</w:t>
      </w:r>
      <w:proofErr w:type="spellEnd"/>
      <w:r w:rsidRPr="007F1A90">
        <w:rPr>
          <w:rFonts w:ascii="Helvetica" w:hAnsi="Helvetica" w:cs="Arial"/>
          <w:sz w:val="20"/>
        </w:rPr>
        <w:t xml:space="preserve"> ir 400 mg/m</w:t>
      </w:r>
      <w:r w:rsidR="005134EC" w:rsidRPr="007F1A90">
        <w:rPr>
          <w:rFonts w:ascii="Helvetica" w:hAnsi="Helvetica" w:cs="Arial"/>
          <w:sz w:val="20"/>
        </w:rPr>
        <w:t>²</w:t>
      </w:r>
      <w:r w:rsidRPr="007F1A90">
        <w:rPr>
          <w:rFonts w:ascii="Helvetica" w:hAnsi="Helvetica" w:cs="Arial"/>
          <w:sz w:val="20"/>
        </w:rPr>
        <w:t xml:space="preserve"> 5-</w:t>
      </w:r>
      <w:r w:rsidR="005134EC" w:rsidRPr="007F1A90">
        <w:rPr>
          <w:rFonts w:ascii="Helvetica" w:hAnsi="Helvetica" w:cs="Arial"/>
          <w:sz w:val="20"/>
        </w:rPr>
        <w:t>fluoruracilo</w:t>
      </w:r>
      <w:r w:rsidRPr="007F1A90">
        <w:rPr>
          <w:rFonts w:ascii="Helvetica" w:hAnsi="Helvetica" w:cs="Arial"/>
          <w:sz w:val="20"/>
        </w:rPr>
        <w:t xml:space="preserve"> (5-FU) </w:t>
      </w:r>
      <w:r w:rsidR="005134EC" w:rsidRPr="007F1A90">
        <w:rPr>
          <w:rFonts w:ascii="Helvetica" w:hAnsi="Helvetica" w:cs="Arial"/>
          <w:sz w:val="20"/>
        </w:rPr>
        <w:t xml:space="preserve">įvedimą </w:t>
      </w:r>
      <w:r w:rsidR="0039155C" w:rsidRPr="007F1A90">
        <w:rPr>
          <w:rFonts w:ascii="Helvetica" w:hAnsi="Helvetica" w:cs="Arial"/>
          <w:sz w:val="20"/>
        </w:rPr>
        <w:t xml:space="preserve">intraveninės </w:t>
      </w:r>
      <w:r w:rsidRPr="007F1A90">
        <w:rPr>
          <w:rFonts w:ascii="Helvetica" w:hAnsi="Helvetica" w:cs="Arial"/>
          <w:sz w:val="20"/>
        </w:rPr>
        <w:t xml:space="preserve">(IV) </w:t>
      </w:r>
      <w:r w:rsidR="0039155C" w:rsidRPr="007F1A90">
        <w:rPr>
          <w:rFonts w:ascii="Helvetica" w:hAnsi="Helvetica" w:cs="Arial"/>
          <w:sz w:val="20"/>
        </w:rPr>
        <w:t xml:space="preserve">infuzijos būdu </w:t>
      </w:r>
      <w:r w:rsidRPr="007F1A90">
        <w:rPr>
          <w:rFonts w:ascii="Helvetica" w:hAnsi="Helvetica" w:cs="Arial"/>
          <w:sz w:val="20"/>
        </w:rPr>
        <w:t xml:space="preserve">arba </w:t>
      </w:r>
      <w:r w:rsidR="0039155C" w:rsidRPr="007F1A90">
        <w:rPr>
          <w:rFonts w:ascii="Helvetica" w:hAnsi="Helvetica" w:cs="Arial"/>
          <w:sz w:val="20"/>
        </w:rPr>
        <w:t xml:space="preserve">kaip </w:t>
      </w:r>
      <w:r w:rsidRPr="007F1A90">
        <w:rPr>
          <w:rFonts w:ascii="Helvetica" w:hAnsi="Helvetica" w:cs="Arial"/>
          <w:sz w:val="20"/>
        </w:rPr>
        <w:t xml:space="preserve">IV </w:t>
      </w:r>
      <w:proofErr w:type="spellStart"/>
      <w:r w:rsidR="0039155C" w:rsidRPr="007F1A90">
        <w:rPr>
          <w:rFonts w:ascii="Helvetica" w:hAnsi="Helvetica" w:cs="Arial"/>
          <w:sz w:val="20"/>
        </w:rPr>
        <w:t>boliusas</w:t>
      </w:r>
      <w:proofErr w:type="spellEnd"/>
      <w:r w:rsidRPr="007F1A90">
        <w:rPr>
          <w:rFonts w:ascii="Helvetica" w:hAnsi="Helvetica" w:cs="Arial"/>
          <w:sz w:val="20"/>
        </w:rPr>
        <w:t xml:space="preserve">, po to </w:t>
      </w:r>
      <w:r w:rsidR="001D47FF" w:rsidRPr="007F1A90">
        <w:rPr>
          <w:rFonts w:ascii="Helvetica" w:hAnsi="Helvetica" w:cs="Arial"/>
          <w:sz w:val="20"/>
        </w:rPr>
        <w:t xml:space="preserve">įvedant </w:t>
      </w:r>
      <w:r w:rsidRPr="007F1A90">
        <w:rPr>
          <w:rFonts w:ascii="Helvetica" w:hAnsi="Helvetica" w:cs="Arial"/>
          <w:sz w:val="20"/>
        </w:rPr>
        <w:t>2400 mg/m</w:t>
      </w:r>
      <w:r w:rsidR="001D47FF" w:rsidRPr="007F1A90">
        <w:rPr>
          <w:rFonts w:ascii="Helvetica" w:hAnsi="Helvetica" w:cs="Arial"/>
          <w:sz w:val="20"/>
        </w:rPr>
        <w:t>²</w:t>
      </w:r>
      <w:r w:rsidRPr="007F1A90">
        <w:rPr>
          <w:rFonts w:ascii="Helvetica" w:hAnsi="Helvetica" w:cs="Arial"/>
          <w:sz w:val="20"/>
        </w:rPr>
        <w:t xml:space="preserve"> 5-FU IV </w:t>
      </w:r>
      <w:r w:rsidR="0039155C" w:rsidRPr="007F1A90">
        <w:rPr>
          <w:rFonts w:ascii="Helvetica" w:hAnsi="Helvetica" w:cs="Arial"/>
          <w:sz w:val="20"/>
        </w:rPr>
        <w:t xml:space="preserve">infuzijos būdu </w:t>
      </w:r>
      <w:r w:rsidRPr="007F1A90">
        <w:rPr>
          <w:rFonts w:ascii="Helvetica" w:hAnsi="Helvetica" w:cs="Arial"/>
          <w:sz w:val="20"/>
        </w:rPr>
        <w:t>per 44–48 valandas.</w:t>
      </w:r>
    </w:p>
    <w:p w14:paraId="015DDFD1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6D658651" w14:textId="0C662BD3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10. Antikūnas, skirtas naudoti pagal bet kurį iš 1–9 punktų, kur chemoterapijos </w:t>
      </w:r>
      <w:r w:rsidR="001D47FF" w:rsidRPr="007F1A90">
        <w:rPr>
          <w:rFonts w:ascii="Helvetica" w:hAnsi="Helvetica" w:cs="Arial"/>
          <w:sz w:val="20"/>
        </w:rPr>
        <w:t xml:space="preserve">režimas </w:t>
      </w:r>
      <w:r w:rsidRPr="007F1A90">
        <w:rPr>
          <w:rFonts w:ascii="Helvetica" w:hAnsi="Helvetica" w:cs="Arial"/>
          <w:sz w:val="20"/>
        </w:rPr>
        <w:t>skiriama</w:t>
      </w:r>
      <w:r w:rsidR="0068700E" w:rsidRPr="007F1A90">
        <w:rPr>
          <w:rFonts w:ascii="Helvetica" w:hAnsi="Helvetica" w:cs="Arial"/>
          <w:sz w:val="20"/>
        </w:rPr>
        <w:t>s vieną</w:t>
      </w:r>
      <w:r w:rsidRPr="007F1A90">
        <w:rPr>
          <w:rFonts w:ascii="Helvetica" w:hAnsi="Helvetica" w:cs="Arial"/>
          <w:sz w:val="20"/>
        </w:rPr>
        <w:t xml:space="preserve"> kartą per 10–21 dieną, </w:t>
      </w:r>
      <w:r w:rsidR="0068700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10–15 dienų, </w:t>
      </w:r>
      <w:r w:rsidR="0068700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10 dienų, </w:t>
      </w:r>
      <w:r w:rsidR="0068700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11 dienų, </w:t>
      </w:r>
      <w:r w:rsidR="0068700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12 dienų, </w:t>
      </w:r>
      <w:r w:rsidR="0068700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13 dienų, </w:t>
      </w:r>
      <w:r w:rsidR="0068700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14 dienų, </w:t>
      </w:r>
      <w:r w:rsidR="0068700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15 dienų, </w:t>
      </w:r>
      <w:r w:rsidR="0068700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16 dienų, </w:t>
      </w:r>
      <w:r w:rsidR="0068700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17 dienų, </w:t>
      </w:r>
      <w:r w:rsidR="0068700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18 dienų, </w:t>
      </w:r>
      <w:r w:rsidR="0068700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19 dienų, </w:t>
      </w:r>
      <w:r w:rsidR="0068700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20 dienų arba </w:t>
      </w:r>
      <w:r w:rsidR="0068700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>kartą per 21 dieną.</w:t>
      </w:r>
    </w:p>
    <w:p w14:paraId="4562BB41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6ADEC005" w14:textId="51D16788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11. Antikūnas, skirtas naudoti pagal 10 punktą, kur chemoterapijos schema skiriama </w:t>
      </w:r>
      <w:r w:rsidR="0068700E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>kartą per 14 dienų.</w:t>
      </w:r>
    </w:p>
    <w:p w14:paraId="2F219F6C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7E795D8C" w14:textId="46ABEF08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12. Antikūnas, skirtas naudoti pagal bet kurį iš 1–11 punktų, kur chemoterapijos režimas skiriamas vieną ar daugiau kartų prieš </w:t>
      </w:r>
      <w:r w:rsidR="0068700E" w:rsidRPr="007F1A90">
        <w:rPr>
          <w:rFonts w:ascii="Helvetica" w:hAnsi="Helvetica" w:cs="Arial"/>
          <w:sz w:val="20"/>
        </w:rPr>
        <w:t xml:space="preserve">įvedant </w:t>
      </w:r>
      <w:r w:rsidRPr="007F1A90">
        <w:rPr>
          <w:rFonts w:ascii="Helvetica" w:hAnsi="Helvetica" w:cs="Arial"/>
          <w:sz w:val="20"/>
        </w:rPr>
        <w:t>anti-FGFR2-IIIb antikūną.</w:t>
      </w:r>
    </w:p>
    <w:p w14:paraId="3453F945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1106CD0E" w14:textId="06A70306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>13. Antikūnas, skirtas naudoti pagal bet kurį iš 1–12 punktų, kur anksčiau buvo nustatyta, kad skrandžio vėžys pernelyg</w:t>
      </w:r>
      <w:r w:rsidR="0068700E" w:rsidRPr="007F1A90">
        <w:rPr>
          <w:rFonts w:ascii="Helvetica" w:hAnsi="Helvetica" w:cs="Arial"/>
          <w:sz w:val="20"/>
        </w:rPr>
        <w:t xml:space="preserve"> intensyviai</w:t>
      </w:r>
      <w:r w:rsidRPr="007F1A90">
        <w:rPr>
          <w:rFonts w:ascii="Helvetica" w:hAnsi="Helvetica" w:cs="Arial"/>
          <w:sz w:val="20"/>
        </w:rPr>
        <w:t xml:space="preserve"> </w:t>
      </w:r>
      <w:proofErr w:type="spellStart"/>
      <w:r w:rsidRPr="007F1A90">
        <w:rPr>
          <w:rFonts w:ascii="Helvetica" w:hAnsi="Helvetica" w:cs="Arial"/>
          <w:sz w:val="20"/>
        </w:rPr>
        <w:t>ekspresuoja</w:t>
      </w:r>
      <w:proofErr w:type="spellEnd"/>
      <w:r w:rsidRPr="007F1A90">
        <w:rPr>
          <w:rFonts w:ascii="Helvetica" w:hAnsi="Helvetica" w:cs="Arial"/>
          <w:sz w:val="20"/>
        </w:rPr>
        <w:t xml:space="preserve"> FGFR2-Illb</w:t>
      </w:r>
      <w:r w:rsidR="00AA7AC1" w:rsidRPr="007F1A90">
        <w:rPr>
          <w:rFonts w:ascii="Helvetica" w:hAnsi="Helvetica" w:cs="Arial"/>
          <w:sz w:val="20"/>
        </w:rPr>
        <w:t>,</w:t>
      </w:r>
      <w:r w:rsidRPr="007F1A90">
        <w:rPr>
          <w:rFonts w:ascii="Helvetica" w:hAnsi="Helvetica" w:cs="Arial"/>
          <w:sz w:val="20"/>
        </w:rPr>
        <w:t xml:space="preserve"> ir (arba) </w:t>
      </w:r>
      <w:r w:rsidR="0068700E" w:rsidRPr="007F1A90">
        <w:rPr>
          <w:rFonts w:ascii="Helvetica" w:hAnsi="Helvetica" w:cs="Arial"/>
          <w:sz w:val="20"/>
        </w:rPr>
        <w:t xml:space="preserve">anksčiau buvo nustatyta, </w:t>
      </w:r>
      <w:r w:rsidRPr="007F1A90">
        <w:rPr>
          <w:rFonts w:ascii="Helvetica" w:hAnsi="Helvetica" w:cs="Arial"/>
          <w:sz w:val="20"/>
        </w:rPr>
        <w:t xml:space="preserve">kad skrandžio vėžys turi FGFR2 geno </w:t>
      </w:r>
      <w:proofErr w:type="spellStart"/>
      <w:r w:rsidRPr="007F1A90">
        <w:rPr>
          <w:rFonts w:ascii="Helvetica" w:hAnsi="Helvetica" w:cs="Arial"/>
          <w:sz w:val="20"/>
        </w:rPr>
        <w:t>amplifikaciją</w:t>
      </w:r>
      <w:proofErr w:type="spellEnd"/>
      <w:r w:rsidRPr="007F1A90">
        <w:rPr>
          <w:rFonts w:ascii="Helvetica" w:hAnsi="Helvetica" w:cs="Arial"/>
          <w:sz w:val="20"/>
        </w:rPr>
        <w:t>.</w:t>
      </w:r>
    </w:p>
    <w:p w14:paraId="400F407D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4CF55C0A" w14:textId="700023D8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14. Antikūnas, skirtas naudoti pagal 13 punktą, kur </w:t>
      </w:r>
      <w:r w:rsidR="00CF4EFF" w:rsidRPr="007F1A90">
        <w:rPr>
          <w:rFonts w:ascii="Helvetica" w:hAnsi="Helvetica" w:cs="Arial"/>
          <w:sz w:val="20"/>
        </w:rPr>
        <w:t xml:space="preserve">pernelyg intensyviai </w:t>
      </w:r>
      <w:r w:rsidRPr="007F1A90">
        <w:rPr>
          <w:rFonts w:ascii="Helvetica" w:hAnsi="Helvetica" w:cs="Arial"/>
          <w:sz w:val="20"/>
        </w:rPr>
        <w:t xml:space="preserve">FGFR2-Illb </w:t>
      </w:r>
      <w:r w:rsidR="00CF4EFF" w:rsidRPr="007F1A90">
        <w:rPr>
          <w:rFonts w:ascii="Helvetica" w:hAnsi="Helvetica" w:cs="Arial"/>
          <w:sz w:val="20"/>
        </w:rPr>
        <w:t xml:space="preserve">ekspresija yra nustatyta </w:t>
      </w:r>
      <w:proofErr w:type="spellStart"/>
      <w:r w:rsidRPr="007F1A90">
        <w:rPr>
          <w:rFonts w:ascii="Helvetica" w:hAnsi="Helvetica" w:cs="Arial"/>
          <w:sz w:val="20"/>
        </w:rPr>
        <w:t>imunohistocheminiu</w:t>
      </w:r>
      <w:proofErr w:type="spellEnd"/>
      <w:r w:rsidRPr="007F1A90">
        <w:rPr>
          <w:rFonts w:ascii="Helvetica" w:hAnsi="Helvetica" w:cs="Arial"/>
          <w:sz w:val="20"/>
        </w:rPr>
        <w:t xml:space="preserve"> metodu (IHC)</w:t>
      </w:r>
      <w:r w:rsidR="00CF4EFF" w:rsidRPr="007F1A90">
        <w:rPr>
          <w:rFonts w:ascii="Helvetica" w:hAnsi="Helvetica" w:cs="Arial"/>
          <w:sz w:val="20"/>
        </w:rPr>
        <w:t>,</w:t>
      </w:r>
      <w:r w:rsidRPr="007F1A90">
        <w:rPr>
          <w:rFonts w:ascii="Helvetica" w:hAnsi="Helvetica" w:cs="Arial"/>
          <w:sz w:val="20"/>
        </w:rPr>
        <w:t xml:space="preserve"> ir (arba) kur FGFR2 geno </w:t>
      </w:r>
      <w:proofErr w:type="spellStart"/>
      <w:r w:rsidRPr="007F1A90">
        <w:rPr>
          <w:rFonts w:ascii="Helvetica" w:hAnsi="Helvetica" w:cs="Arial"/>
          <w:sz w:val="20"/>
        </w:rPr>
        <w:t>amplifikacija</w:t>
      </w:r>
      <w:proofErr w:type="spellEnd"/>
      <w:r w:rsidRPr="007F1A90">
        <w:rPr>
          <w:rFonts w:ascii="Helvetica" w:hAnsi="Helvetica" w:cs="Arial"/>
          <w:sz w:val="20"/>
        </w:rPr>
        <w:t xml:space="preserve"> </w:t>
      </w:r>
      <w:r w:rsidR="00CF4EFF" w:rsidRPr="007F1A90">
        <w:rPr>
          <w:rFonts w:ascii="Helvetica" w:hAnsi="Helvetica" w:cs="Arial"/>
          <w:sz w:val="20"/>
        </w:rPr>
        <w:t>yra nustatyta</w:t>
      </w:r>
      <w:r w:rsidRPr="007F1A90">
        <w:rPr>
          <w:rFonts w:ascii="Helvetica" w:hAnsi="Helvetica" w:cs="Arial"/>
          <w:sz w:val="20"/>
        </w:rPr>
        <w:t xml:space="preserve"> gaunant FGFR2 ir chromosomos 10 </w:t>
      </w:r>
      <w:proofErr w:type="spellStart"/>
      <w:r w:rsidRPr="007F1A90">
        <w:rPr>
          <w:rFonts w:ascii="Helvetica" w:hAnsi="Helvetica" w:cs="Arial"/>
          <w:sz w:val="20"/>
        </w:rPr>
        <w:t>centromeros</w:t>
      </w:r>
      <w:proofErr w:type="spellEnd"/>
      <w:r w:rsidRPr="007F1A90">
        <w:rPr>
          <w:rFonts w:ascii="Helvetica" w:hAnsi="Helvetica" w:cs="Arial"/>
          <w:sz w:val="20"/>
        </w:rPr>
        <w:t xml:space="preserve"> (CEN10) santykį fluorescencin</w:t>
      </w:r>
      <w:r w:rsidR="00AA7AC1" w:rsidRPr="007F1A90">
        <w:rPr>
          <w:rFonts w:ascii="Helvetica" w:hAnsi="Helvetica" w:cs="Arial"/>
          <w:sz w:val="20"/>
        </w:rPr>
        <w:t>ės</w:t>
      </w:r>
      <w:r w:rsidRPr="007F1A90">
        <w:rPr>
          <w:rFonts w:ascii="Helvetica" w:hAnsi="Helvetica" w:cs="Arial"/>
          <w:sz w:val="20"/>
        </w:rPr>
        <w:t xml:space="preserve"> </w:t>
      </w:r>
      <w:proofErr w:type="spellStart"/>
      <w:r w:rsidRPr="007F1A90">
        <w:rPr>
          <w:rFonts w:ascii="Helvetica" w:hAnsi="Helvetica" w:cs="Arial"/>
          <w:i/>
          <w:iCs/>
          <w:sz w:val="20"/>
        </w:rPr>
        <w:t>in</w:t>
      </w:r>
      <w:proofErr w:type="spellEnd"/>
      <w:r w:rsidRPr="007F1A90">
        <w:rPr>
          <w:rFonts w:ascii="Helvetica" w:hAnsi="Helvetica" w:cs="Arial"/>
          <w:i/>
          <w:iCs/>
          <w:sz w:val="20"/>
        </w:rPr>
        <w:t xml:space="preserve"> </w:t>
      </w:r>
      <w:proofErr w:type="spellStart"/>
      <w:r w:rsidRPr="007F1A90">
        <w:rPr>
          <w:rFonts w:ascii="Helvetica" w:hAnsi="Helvetica" w:cs="Arial"/>
          <w:i/>
          <w:iCs/>
          <w:sz w:val="20"/>
        </w:rPr>
        <w:t>situ</w:t>
      </w:r>
      <w:proofErr w:type="spellEnd"/>
      <w:r w:rsidRPr="007F1A90">
        <w:rPr>
          <w:rFonts w:ascii="Helvetica" w:hAnsi="Helvetica" w:cs="Arial"/>
          <w:sz w:val="20"/>
        </w:rPr>
        <w:t xml:space="preserve"> </w:t>
      </w:r>
      <w:r w:rsidR="00AA7AC1" w:rsidRPr="007F1A90">
        <w:rPr>
          <w:rFonts w:ascii="Helvetica" w:hAnsi="Helvetica" w:cs="Arial"/>
          <w:sz w:val="20"/>
        </w:rPr>
        <w:t xml:space="preserve">hibridizacijos </w:t>
      </w:r>
      <w:r w:rsidRPr="007F1A90">
        <w:rPr>
          <w:rFonts w:ascii="Helvetica" w:hAnsi="Helvetica" w:cs="Arial"/>
          <w:sz w:val="20"/>
        </w:rPr>
        <w:t>(FISH)</w:t>
      </w:r>
      <w:r w:rsidR="00AA7AC1" w:rsidRPr="007F1A90">
        <w:rPr>
          <w:rFonts w:ascii="Helvetica" w:hAnsi="Helvetica" w:cs="Arial"/>
          <w:sz w:val="20"/>
        </w:rPr>
        <w:t xml:space="preserve"> metodu</w:t>
      </w:r>
      <w:r w:rsidRPr="007F1A90">
        <w:rPr>
          <w:rFonts w:ascii="Helvetica" w:hAnsi="Helvetica" w:cs="Arial"/>
          <w:sz w:val="20"/>
        </w:rPr>
        <w:t xml:space="preserve">, kur FGFR2 genas laikomas </w:t>
      </w:r>
      <w:proofErr w:type="spellStart"/>
      <w:r w:rsidRPr="007F1A90">
        <w:rPr>
          <w:rFonts w:ascii="Helvetica" w:hAnsi="Helvetica" w:cs="Arial"/>
          <w:sz w:val="20"/>
        </w:rPr>
        <w:t>amplifikuotu</w:t>
      </w:r>
      <w:proofErr w:type="spellEnd"/>
      <w:r w:rsidRPr="007F1A90">
        <w:rPr>
          <w:rFonts w:ascii="Helvetica" w:hAnsi="Helvetica" w:cs="Arial"/>
          <w:sz w:val="20"/>
        </w:rPr>
        <w:t>, jei FISH</w:t>
      </w:r>
      <w:r w:rsidR="00AA7AC1" w:rsidRPr="007F1A90">
        <w:rPr>
          <w:rFonts w:ascii="Helvetica" w:hAnsi="Helvetica" w:cs="Arial"/>
          <w:sz w:val="20"/>
        </w:rPr>
        <w:t xml:space="preserve"> metodu</w:t>
      </w:r>
      <w:r w:rsidRPr="007F1A90">
        <w:rPr>
          <w:rFonts w:ascii="Helvetica" w:hAnsi="Helvetica" w:cs="Arial"/>
          <w:sz w:val="20"/>
        </w:rPr>
        <w:t xml:space="preserve"> nustatytas FGFR2/CEN10 santykis yra didesnis arba lygus 2, arba </w:t>
      </w:r>
      <w:r w:rsidR="00CF4EFF" w:rsidRPr="007F1A90">
        <w:rPr>
          <w:rFonts w:ascii="Helvetica" w:hAnsi="Helvetica" w:cs="Arial"/>
          <w:sz w:val="20"/>
        </w:rPr>
        <w:t>yra nustatytas</w:t>
      </w:r>
      <w:r w:rsidRPr="007F1A90">
        <w:rPr>
          <w:rFonts w:ascii="Helvetica" w:hAnsi="Helvetica" w:cs="Arial"/>
          <w:sz w:val="20"/>
        </w:rPr>
        <w:t xml:space="preserve"> </w:t>
      </w:r>
      <w:r w:rsidR="00CF4EFF" w:rsidRPr="007F1A90">
        <w:rPr>
          <w:rFonts w:ascii="Helvetica" w:hAnsi="Helvetica" w:cs="Arial"/>
          <w:sz w:val="20"/>
        </w:rPr>
        <w:t xml:space="preserve">cirkuliuojančioje </w:t>
      </w:r>
      <w:r w:rsidRPr="007F1A90">
        <w:rPr>
          <w:rFonts w:ascii="Helvetica" w:hAnsi="Helvetica" w:cs="Arial"/>
          <w:sz w:val="20"/>
        </w:rPr>
        <w:t>naviko DNR (</w:t>
      </w:r>
      <w:proofErr w:type="spellStart"/>
      <w:r w:rsidR="003365CC" w:rsidRPr="007F1A90">
        <w:rPr>
          <w:rFonts w:ascii="Helvetica" w:hAnsi="Helvetica" w:cs="Arial"/>
          <w:sz w:val="20"/>
        </w:rPr>
        <w:t>ctDNR</w:t>
      </w:r>
      <w:proofErr w:type="spellEnd"/>
      <w:r w:rsidRPr="007F1A90">
        <w:rPr>
          <w:rFonts w:ascii="Helvetica" w:hAnsi="Helvetica" w:cs="Arial"/>
          <w:sz w:val="20"/>
        </w:rPr>
        <w:t>).</w:t>
      </w:r>
    </w:p>
    <w:p w14:paraId="71B36344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7BD8D02F" w14:textId="4E054AAB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15. </w:t>
      </w:r>
      <w:proofErr w:type="spellStart"/>
      <w:r w:rsidRPr="007F1A90">
        <w:rPr>
          <w:rFonts w:ascii="Helvetica" w:hAnsi="Helvetica" w:cs="Arial"/>
          <w:sz w:val="20"/>
        </w:rPr>
        <w:t>Afukozilintas</w:t>
      </w:r>
      <w:proofErr w:type="spellEnd"/>
      <w:r w:rsidRPr="007F1A90">
        <w:rPr>
          <w:rFonts w:ascii="Helvetica" w:hAnsi="Helvetica" w:cs="Arial"/>
          <w:sz w:val="20"/>
        </w:rPr>
        <w:t xml:space="preserve"> </w:t>
      </w:r>
      <w:proofErr w:type="spellStart"/>
      <w:r w:rsidRPr="007F1A90">
        <w:rPr>
          <w:rFonts w:ascii="Helvetica" w:hAnsi="Helvetica" w:cs="Arial"/>
          <w:sz w:val="20"/>
        </w:rPr>
        <w:t>anti</w:t>
      </w:r>
      <w:proofErr w:type="spellEnd"/>
      <w:r w:rsidRPr="007F1A90">
        <w:rPr>
          <w:rFonts w:ascii="Helvetica" w:hAnsi="Helvetica" w:cs="Arial"/>
          <w:sz w:val="20"/>
        </w:rPr>
        <w:t xml:space="preserve">-fibroblastų augimo faktoriaus receptoriaus 2 </w:t>
      </w:r>
      <w:proofErr w:type="spellStart"/>
      <w:r w:rsidRPr="007F1A90">
        <w:rPr>
          <w:rFonts w:ascii="Helvetica" w:hAnsi="Helvetica" w:cs="Arial"/>
          <w:sz w:val="20"/>
        </w:rPr>
        <w:t>Illb</w:t>
      </w:r>
      <w:proofErr w:type="spellEnd"/>
      <w:r w:rsidRPr="007F1A90">
        <w:rPr>
          <w:rFonts w:ascii="Helvetica" w:hAnsi="Helvetica" w:cs="Arial"/>
          <w:sz w:val="20"/>
        </w:rPr>
        <w:t xml:space="preserve"> (anti-FGFR2-Illb) antikūnas, skirtas naudoti</w:t>
      </w:r>
      <w:r w:rsidR="00CF4EFF" w:rsidRPr="007F1A90">
        <w:rPr>
          <w:rFonts w:ascii="Helvetica" w:hAnsi="Helvetica" w:cs="Arial"/>
          <w:sz w:val="20"/>
        </w:rPr>
        <w:t xml:space="preserve"> taikant</w:t>
      </w:r>
      <w:r w:rsidRPr="007F1A90">
        <w:rPr>
          <w:rFonts w:ascii="Helvetica" w:hAnsi="Helvetica" w:cs="Arial"/>
          <w:sz w:val="20"/>
        </w:rPr>
        <w:t xml:space="preserve"> </w:t>
      </w:r>
      <w:r w:rsidR="00CF4EFF" w:rsidRPr="007F1A90">
        <w:rPr>
          <w:rFonts w:ascii="Helvetica" w:hAnsi="Helvetica" w:cs="Arial"/>
          <w:sz w:val="20"/>
        </w:rPr>
        <w:t xml:space="preserve">gydymo </w:t>
      </w:r>
      <w:r w:rsidRPr="007F1A90">
        <w:rPr>
          <w:rFonts w:ascii="Helvetica" w:hAnsi="Helvetica" w:cs="Arial"/>
          <w:sz w:val="20"/>
        </w:rPr>
        <w:t xml:space="preserve">būdą lokaliai </w:t>
      </w:r>
      <w:r w:rsidR="00CF4EFF" w:rsidRPr="007F1A90">
        <w:rPr>
          <w:rFonts w:ascii="Helvetica" w:hAnsi="Helvetica" w:cs="Arial"/>
          <w:sz w:val="20"/>
        </w:rPr>
        <w:t>pažengusio</w:t>
      </w:r>
      <w:r w:rsidRPr="007F1A90">
        <w:rPr>
          <w:rFonts w:ascii="Helvetica" w:hAnsi="Helvetica" w:cs="Arial"/>
          <w:sz w:val="20"/>
        </w:rPr>
        <w:t xml:space="preserve">, </w:t>
      </w:r>
      <w:r w:rsidR="00CF4EFF" w:rsidRPr="007F1A90">
        <w:rPr>
          <w:rFonts w:ascii="Helvetica" w:hAnsi="Helvetica" w:cs="Arial"/>
          <w:sz w:val="20"/>
        </w:rPr>
        <w:t xml:space="preserve">neoperuotino </w:t>
      </w:r>
      <w:r w:rsidRPr="007F1A90">
        <w:rPr>
          <w:rFonts w:ascii="Helvetica" w:hAnsi="Helvetica" w:cs="Arial"/>
          <w:sz w:val="20"/>
        </w:rPr>
        <w:t xml:space="preserve">arba </w:t>
      </w:r>
      <w:proofErr w:type="spellStart"/>
      <w:r w:rsidR="00CF4EFF" w:rsidRPr="007F1A90">
        <w:rPr>
          <w:rFonts w:ascii="Helvetica" w:hAnsi="Helvetica" w:cs="Arial"/>
          <w:sz w:val="20"/>
        </w:rPr>
        <w:t>metastazinio</w:t>
      </w:r>
      <w:proofErr w:type="spellEnd"/>
      <w:r w:rsidR="00CF4EFF" w:rsidRPr="007F1A90">
        <w:rPr>
          <w:rFonts w:ascii="Helvetica" w:hAnsi="Helvetica" w:cs="Arial"/>
          <w:sz w:val="20"/>
        </w:rPr>
        <w:t xml:space="preserve"> </w:t>
      </w:r>
      <w:r w:rsidRPr="007F1A90">
        <w:rPr>
          <w:rFonts w:ascii="Helvetica" w:hAnsi="Helvetica" w:cs="Arial"/>
          <w:sz w:val="20"/>
        </w:rPr>
        <w:t xml:space="preserve">skrandžio </w:t>
      </w:r>
      <w:r w:rsidR="00CF4EFF" w:rsidRPr="007F1A90">
        <w:rPr>
          <w:rFonts w:ascii="Helvetica" w:hAnsi="Helvetica" w:cs="Arial"/>
          <w:sz w:val="20"/>
        </w:rPr>
        <w:t>vėžio</w:t>
      </w:r>
      <w:r w:rsidRPr="007F1A90">
        <w:rPr>
          <w:rFonts w:ascii="Helvetica" w:hAnsi="Helvetica" w:cs="Arial"/>
          <w:sz w:val="20"/>
        </w:rPr>
        <w:t xml:space="preserve">, kuris žmogaus organizme pernelyg </w:t>
      </w:r>
      <w:r w:rsidR="00CF4EFF" w:rsidRPr="007F1A90">
        <w:rPr>
          <w:rFonts w:ascii="Helvetica" w:hAnsi="Helvetica" w:cs="Arial"/>
          <w:sz w:val="20"/>
        </w:rPr>
        <w:t xml:space="preserve">intensyviai </w:t>
      </w:r>
      <w:proofErr w:type="spellStart"/>
      <w:r w:rsidRPr="007F1A90">
        <w:rPr>
          <w:rFonts w:ascii="Helvetica" w:hAnsi="Helvetica" w:cs="Arial"/>
          <w:sz w:val="20"/>
        </w:rPr>
        <w:t>ekspresuoja</w:t>
      </w:r>
      <w:proofErr w:type="spellEnd"/>
      <w:r w:rsidRPr="007F1A90">
        <w:rPr>
          <w:rFonts w:ascii="Helvetica" w:hAnsi="Helvetica" w:cs="Arial"/>
          <w:sz w:val="20"/>
        </w:rPr>
        <w:t xml:space="preserve"> FGFR2-Illb, būdas apima terapiniu požiūriu </w:t>
      </w:r>
      <w:r w:rsidRPr="007F1A90">
        <w:rPr>
          <w:rFonts w:ascii="Helvetica" w:hAnsi="Helvetica" w:cs="Arial"/>
          <w:sz w:val="20"/>
        </w:rPr>
        <w:lastRenderedPageBreak/>
        <w:t xml:space="preserve">veiksmingo anti-FGFR2-Illb antikūno kiekio ir chemoterapijos režimo, apimančio </w:t>
      </w:r>
      <w:proofErr w:type="spellStart"/>
      <w:r w:rsidRPr="007F1A90">
        <w:rPr>
          <w:rFonts w:ascii="Helvetica" w:hAnsi="Helvetica" w:cs="Arial"/>
          <w:sz w:val="20"/>
        </w:rPr>
        <w:t>oksaliplatino</w:t>
      </w:r>
      <w:r w:rsidR="00221770" w:rsidRPr="007F1A90">
        <w:rPr>
          <w:rFonts w:ascii="Helvetica" w:hAnsi="Helvetica" w:cs="Arial"/>
          <w:sz w:val="20"/>
        </w:rPr>
        <w:t>s</w:t>
      </w:r>
      <w:proofErr w:type="spellEnd"/>
      <w:r w:rsidRPr="007F1A90">
        <w:rPr>
          <w:rFonts w:ascii="Helvetica" w:hAnsi="Helvetica" w:cs="Arial"/>
          <w:sz w:val="20"/>
        </w:rPr>
        <w:t xml:space="preserve">, </w:t>
      </w:r>
      <w:proofErr w:type="spellStart"/>
      <w:r w:rsidRPr="007F1A90">
        <w:rPr>
          <w:rFonts w:ascii="Helvetica" w:hAnsi="Helvetica" w:cs="Arial"/>
          <w:sz w:val="20"/>
        </w:rPr>
        <w:t>leukovorino</w:t>
      </w:r>
      <w:proofErr w:type="spellEnd"/>
      <w:r w:rsidRPr="007F1A90">
        <w:rPr>
          <w:rFonts w:ascii="Helvetica" w:hAnsi="Helvetica" w:cs="Arial"/>
          <w:sz w:val="20"/>
        </w:rPr>
        <w:t xml:space="preserve"> ir 5-</w:t>
      </w:r>
      <w:r w:rsidR="005134EC" w:rsidRPr="007F1A90">
        <w:rPr>
          <w:rFonts w:ascii="Helvetica" w:hAnsi="Helvetica" w:cs="Arial"/>
          <w:sz w:val="20"/>
        </w:rPr>
        <w:t>fluoruracilo</w:t>
      </w:r>
      <w:r w:rsidRPr="007F1A90">
        <w:rPr>
          <w:rFonts w:ascii="Helvetica" w:hAnsi="Helvetica" w:cs="Arial"/>
          <w:sz w:val="20"/>
        </w:rPr>
        <w:t xml:space="preserve"> (5-FU) derinį, </w:t>
      </w:r>
      <w:r w:rsidR="00221770" w:rsidRPr="007F1A90">
        <w:rPr>
          <w:rFonts w:ascii="Helvetica" w:hAnsi="Helvetica" w:cs="Arial"/>
          <w:sz w:val="20"/>
        </w:rPr>
        <w:t>įvedimą subjektui</w:t>
      </w:r>
      <w:r w:rsidRPr="007F1A90">
        <w:rPr>
          <w:rFonts w:ascii="Helvetica" w:hAnsi="Helvetica" w:cs="Arial"/>
          <w:sz w:val="20"/>
        </w:rPr>
        <w:t>,</w:t>
      </w:r>
    </w:p>
    <w:p w14:paraId="47B79223" w14:textId="0BD41619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>kur anti-FGFR2-Illb antikūnas apima sunkiosios grandinės ir lengvosios grandinės kintam</w:t>
      </w:r>
      <w:r w:rsidR="00221770" w:rsidRPr="007F1A90">
        <w:rPr>
          <w:rFonts w:ascii="Helvetica" w:hAnsi="Helvetica" w:cs="Arial"/>
          <w:sz w:val="20"/>
        </w:rPr>
        <w:t>as sritis</w:t>
      </w:r>
      <w:r w:rsidRPr="007F1A90">
        <w:rPr>
          <w:rFonts w:ascii="Helvetica" w:hAnsi="Helvetica" w:cs="Arial"/>
          <w:sz w:val="20"/>
        </w:rPr>
        <w:t>, kur sunkiosios grandinės kintama</w:t>
      </w:r>
      <w:r w:rsidR="00221770" w:rsidRPr="007F1A90">
        <w:rPr>
          <w:rFonts w:ascii="Helvetica" w:hAnsi="Helvetica" w:cs="Arial"/>
          <w:sz w:val="20"/>
        </w:rPr>
        <w:t xml:space="preserve"> sritis</w:t>
      </w:r>
      <w:r w:rsidRPr="007F1A90">
        <w:rPr>
          <w:rFonts w:ascii="Helvetica" w:hAnsi="Helvetica" w:cs="Arial"/>
          <w:sz w:val="20"/>
        </w:rPr>
        <w:t xml:space="preserve"> apima:</w:t>
      </w:r>
    </w:p>
    <w:p w14:paraId="686E1451" w14:textId="62606F5B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>(i) HVR-H1, apima</w:t>
      </w:r>
      <w:r w:rsidR="00221770" w:rsidRPr="007F1A90">
        <w:rPr>
          <w:rFonts w:ascii="Helvetica" w:hAnsi="Helvetica" w:cs="Arial"/>
          <w:sz w:val="20"/>
        </w:rPr>
        <w:t>nčią</w:t>
      </w:r>
      <w:r w:rsidRPr="007F1A90">
        <w:rPr>
          <w:rFonts w:ascii="Helvetica" w:hAnsi="Helvetica" w:cs="Arial"/>
          <w:sz w:val="20"/>
        </w:rPr>
        <w:t xml:space="preserve"> aminorūgščių seka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6;</w:t>
      </w:r>
    </w:p>
    <w:p w14:paraId="620E4BD4" w14:textId="27F0E1E7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(ii) HVR-H2, </w:t>
      </w:r>
      <w:r w:rsidR="00221770" w:rsidRPr="007F1A90">
        <w:rPr>
          <w:rFonts w:ascii="Helvetica" w:hAnsi="Helvetica" w:cs="Arial"/>
          <w:sz w:val="20"/>
        </w:rPr>
        <w:t>apimančią</w:t>
      </w:r>
      <w:r w:rsidRPr="007F1A90">
        <w:rPr>
          <w:rFonts w:ascii="Helvetica" w:hAnsi="Helvetica" w:cs="Arial"/>
          <w:sz w:val="20"/>
        </w:rPr>
        <w:t xml:space="preserve"> aminorūgščių seka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7; ir</w:t>
      </w:r>
    </w:p>
    <w:p w14:paraId="597FED24" w14:textId="15AC468B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(iii) HVR-H3, </w:t>
      </w:r>
      <w:r w:rsidR="00221770" w:rsidRPr="007F1A90">
        <w:rPr>
          <w:rFonts w:ascii="Helvetica" w:hAnsi="Helvetica" w:cs="Arial"/>
          <w:sz w:val="20"/>
        </w:rPr>
        <w:t>apimančią</w:t>
      </w:r>
      <w:r w:rsidRPr="007F1A90">
        <w:rPr>
          <w:rFonts w:ascii="Helvetica" w:hAnsi="Helvetica" w:cs="Arial"/>
          <w:sz w:val="20"/>
        </w:rPr>
        <w:t xml:space="preserve"> aminorūgščių seka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8;</w:t>
      </w:r>
    </w:p>
    <w:p w14:paraId="1BB951DA" w14:textId="5FB133BD" w:rsidR="0008444A" w:rsidRPr="007F1A90" w:rsidRDefault="00221770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ir </w:t>
      </w:r>
      <w:r w:rsidR="0008444A" w:rsidRPr="007F1A90">
        <w:rPr>
          <w:rFonts w:ascii="Helvetica" w:hAnsi="Helvetica" w:cs="Arial"/>
          <w:sz w:val="20"/>
        </w:rPr>
        <w:t>lengvosios grandinės kintama</w:t>
      </w:r>
      <w:r w:rsidRPr="007F1A90">
        <w:rPr>
          <w:rFonts w:ascii="Helvetica" w:hAnsi="Helvetica" w:cs="Arial"/>
          <w:sz w:val="20"/>
        </w:rPr>
        <w:t xml:space="preserve"> sritis</w:t>
      </w:r>
      <w:r w:rsidR="0008444A" w:rsidRPr="007F1A90">
        <w:rPr>
          <w:rFonts w:ascii="Helvetica" w:hAnsi="Helvetica" w:cs="Arial"/>
          <w:sz w:val="20"/>
        </w:rPr>
        <w:t xml:space="preserve"> apima:</w:t>
      </w:r>
    </w:p>
    <w:p w14:paraId="2F85CE85" w14:textId="1892D998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(iv) HVR-L1, </w:t>
      </w:r>
      <w:r w:rsidR="00221770" w:rsidRPr="007F1A90">
        <w:rPr>
          <w:rFonts w:ascii="Helvetica" w:hAnsi="Helvetica" w:cs="Arial"/>
          <w:sz w:val="20"/>
        </w:rPr>
        <w:t>apimančią</w:t>
      </w:r>
      <w:r w:rsidRPr="007F1A90">
        <w:rPr>
          <w:rFonts w:ascii="Helvetica" w:hAnsi="Helvetica" w:cs="Arial"/>
          <w:sz w:val="20"/>
        </w:rPr>
        <w:t xml:space="preserve"> aminorūgščių seka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9;</w:t>
      </w:r>
    </w:p>
    <w:p w14:paraId="3B50923E" w14:textId="5BBBA264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(v) HVR-L2, </w:t>
      </w:r>
      <w:r w:rsidR="00221770" w:rsidRPr="007F1A90">
        <w:rPr>
          <w:rFonts w:ascii="Helvetica" w:hAnsi="Helvetica" w:cs="Arial"/>
          <w:sz w:val="20"/>
        </w:rPr>
        <w:t>apimančią</w:t>
      </w:r>
      <w:r w:rsidRPr="007F1A90">
        <w:rPr>
          <w:rFonts w:ascii="Helvetica" w:hAnsi="Helvetica" w:cs="Arial"/>
          <w:sz w:val="20"/>
        </w:rPr>
        <w:t xml:space="preserve"> aminorūgščių seka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10; ir</w:t>
      </w:r>
    </w:p>
    <w:p w14:paraId="1D072AC5" w14:textId="00D793AF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(vi) HVR-L3, </w:t>
      </w:r>
      <w:r w:rsidR="00221770" w:rsidRPr="007F1A90">
        <w:rPr>
          <w:rFonts w:ascii="Helvetica" w:hAnsi="Helvetica" w:cs="Arial"/>
          <w:sz w:val="20"/>
        </w:rPr>
        <w:t>apimančią</w:t>
      </w:r>
      <w:r w:rsidRPr="007F1A90">
        <w:rPr>
          <w:rFonts w:ascii="Helvetica" w:hAnsi="Helvetica" w:cs="Arial"/>
          <w:sz w:val="20"/>
        </w:rPr>
        <w:t xml:space="preserve"> aminorūgščių seka SEQ ID </w:t>
      </w:r>
      <w:r w:rsidR="005138DE" w:rsidRPr="007F1A90">
        <w:rPr>
          <w:rFonts w:ascii="Helvetica" w:hAnsi="Helvetica" w:cs="Arial"/>
          <w:sz w:val="20"/>
        </w:rPr>
        <w:t>Nr.</w:t>
      </w:r>
      <w:r w:rsidRPr="007F1A90">
        <w:rPr>
          <w:rFonts w:ascii="Helvetica" w:hAnsi="Helvetica" w:cs="Arial"/>
          <w:sz w:val="20"/>
        </w:rPr>
        <w:t xml:space="preserve"> 11;</w:t>
      </w:r>
    </w:p>
    <w:p w14:paraId="37007DAA" w14:textId="09F4145A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ir kur anti-FGFR2-Illb antikūnas yra </w:t>
      </w:r>
      <w:r w:rsidR="00221770" w:rsidRPr="007F1A90">
        <w:rPr>
          <w:rFonts w:ascii="Helvetica" w:hAnsi="Helvetica" w:cs="Arial"/>
          <w:sz w:val="20"/>
        </w:rPr>
        <w:t xml:space="preserve">įvedamas </w:t>
      </w:r>
      <w:r w:rsidRPr="007F1A90">
        <w:rPr>
          <w:rFonts w:ascii="Helvetica" w:hAnsi="Helvetica" w:cs="Arial"/>
          <w:sz w:val="20"/>
        </w:rPr>
        <w:t>į veną 10–15 mg/kg doze, po to skiriama</w:t>
      </w:r>
      <w:r w:rsidR="00221770" w:rsidRPr="007F1A90">
        <w:rPr>
          <w:rFonts w:ascii="Helvetica" w:hAnsi="Helvetica" w:cs="Arial"/>
          <w:sz w:val="20"/>
        </w:rPr>
        <w:t>s</w:t>
      </w:r>
      <w:r w:rsidRPr="007F1A90">
        <w:rPr>
          <w:rFonts w:ascii="Helvetica" w:hAnsi="Helvetica" w:cs="Arial"/>
          <w:sz w:val="20"/>
        </w:rPr>
        <w:t xml:space="preserve"> </w:t>
      </w:r>
      <w:r w:rsidR="00221770" w:rsidRPr="007F1A90">
        <w:rPr>
          <w:rFonts w:ascii="Helvetica" w:hAnsi="Helvetica" w:cs="Arial"/>
          <w:sz w:val="20"/>
        </w:rPr>
        <w:t>chemoterapijos režimas</w:t>
      </w:r>
      <w:r w:rsidRPr="007F1A90">
        <w:rPr>
          <w:rFonts w:ascii="Helvetica" w:hAnsi="Helvetica" w:cs="Arial"/>
          <w:sz w:val="20"/>
        </w:rPr>
        <w:t>, apima</w:t>
      </w:r>
      <w:r w:rsidR="00221770" w:rsidRPr="007F1A90">
        <w:rPr>
          <w:rFonts w:ascii="Helvetica" w:hAnsi="Helvetica" w:cs="Arial"/>
          <w:sz w:val="20"/>
        </w:rPr>
        <w:t>ntis</w:t>
      </w:r>
      <w:r w:rsidRPr="007F1A90">
        <w:rPr>
          <w:rFonts w:ascii="Helvetica" w:hAnsi="Helvetica" w:cs="Arial"/>
          <w:sz w:val="20"/>
        </w:rPr>
        <w:t xml:space="preserve"> 85 mg/m</w:t>
      </w:r>
      <w:r w:rsidR="00221770" w:rsidRPr="007F1A90">
        <w:rPr>
          <w:rFonts w:ascii="Helvetica" w:hAnsi="Helvetica" w:cs="Arial"/>
          <w:sz w:val="20"/>
        </w:rPr>
        <w:t>²</w:t>
      </w:r>
      <w:r w:rsidRPr="007F1A90">
        <w:rPr>
          <w:rFonts w:ascii="Helvetica" w:hAnsi="Helvetica" w:cs="Arial"/>
          <w:sz w:val="20"/>
        </w:rPr>
        <w:t xml:space="preserve"> </w:t>
      </w:r>
      <w:proofErr w:type="spellStart"/>
      <w:r w:rsidRPr="007F1A90">
        <w:rPr>
          <w:rFonts w:ascii="Helvetica" w:hAnsi="Helvetica" w:cs="Arial"/>
          <w:sz w:val="20"/>
        </w:rPr>
        <w:t>oksaliplatino</w:t>
      </w:r>
      <w:r w:rsidR="00221770" w:rsidRPr="007F1A90">
        <w:rPr>
          <w:rFonts w:ascii="Helvetica" w:hAnsi="Helvetica" w:cs="Arial"/>
          <w:sz w:val="20"/>
        </w:rPr>
        <w:t>s</w:t>
      </w:r>
      <w:proofErr w:type="spellEnd"/>
      <w:r w:rsidRPr="007F1A90">
        <w:rPr>
          <w:rFonts w:ascii="Helvetica" w:hAnsi="Helvetica" w:cs="Arial"/>
          <w:sz w:val="20"/>
        </w:rPr>
        <w:t>, 400 mg/m</w:t>
      </w:r>
      <w:r w:rsidR="00221770" w:rsidRPr="007F1A90">
        <w:rPr>
          <w:rFonts w:ascii="Helvetica" w:hAnsi="Helvetica" w:cs="Arial"/>
          <w:sz w:val="20"/>
        </w:rPr>
        <w:t>²</w:t>
      </w:r>
      <w:r w:rsidRPr="007F1A90">
        <w:rPr>
          <w:rFonts w:ascii="Helvetica" w:hAnsi="Helvetica" w:cs="Arial"/>
          <w:sz w:val="20"/>
        </w:rPr>
        <w:t xml:space="preserve"> </w:t>
      </w:r>
      <w:proofErr w:type="spellStart"/>
      <w:r w:rsidRPr="007F1A90">
        <w:rPr>
          <w:rFonts w:ascii="Helvetica" w:hAnsi="Helvetica" w:cs="Arial"/>
          <w:sz w:val="20"/>
        </w:rPr>
        <w:t>leukovorino</w:t>
      </w:r>
      <w:proofErr w:type="spellEnd"/>
      <w:r w:rsidRPr="007F1A90">
        <w:rPr>
          <w:rFonts w:ascii="Helvetica" w:hAnsi="Helvetica" w:cs="Arial"/>
          <w:sz w:val="20"/>
        </w:rPr>
        <w:t xml:space="preserve"> ir 400 mg/m</w:t>
      </w:r>
      <w:r w:rsidR="00221770" w:rsidRPr="007F1A90">
        <w:rPr>
          <w:rFonts w:ascii="Helvetica" w:hAnsi="Helvetica" w:cs="Arial"/>
          <w:sz w:val="20"/>
        </w:rPr>
        <w:t>²</w:t>
      </w:r>
      <w:r w:rsidRPr="007F1A90">
        <w:rPr>
          <w:rFonts w:ascii="Helvetica" w:hAnsi="Helvetica" w:cs="Arial"/>
          <w:sz w:val="20"/>
        </w:rPr>
        <w:t xml:space="preserve"> 5-</w:t>
      </w:r>
      <w:r w:rsidR="005134EC" w:rsidRPr="007F1A90">
        <w:rPr>
          <w:rFonts w:ascii="Helvetica" w:hAnsi="Helvetica" w:cs="Arial"/>
          <w:sz w:val="20"/>
        </w:rPr>
        <w:t>fluoruracilo</w:t>
      </w:r>
      <w:r w:rsidRPr="007F1A90">
        <w:rPr>
          <w:rFonts w:ascii="Helvetica" w:hAnsi="Helvetica" w:cs="Arial"/>
          <w:sz w:val="20"/>
        </w:rPr>
        <w:t xml:space="preserve"> (5-FU) </w:t>
      </w:r>
      <w:r w:rsidR="00221770" w:rsidRPr="007F1A90">
        <w:rPr>
          <w:rFonts w:ascii="Helvetica" w:hAnsi="Helvetica" w:cs="Arial"/>
          <w:sz w:val="20"/>
        </w:rPr>
        <w:t xml:space="preserve">įvedimą IV </w:t>
      </w:r>
      <w:r w:rsidRPr="007F1A90">
        <w:rPr>
          <w:rFonts w:ascii="Helvetica" w:hAnsi="Helvetica" w:cs="Arial"/>
          <w:sz w:val="20"/>
        </w:rPr>
        <w:t>infuzij</w:t>
      </w:r>
      <w:r w:rsidR="00AA7AC1" w:rsidRPr="007F1A90">
        <w:rPr>
          <w:rFonts w:ascii="Helvetica" w:hAnsi="Helvetica" w:cs="Arial"/>
          <w:sz w:val="20"/>
        </w:rPr>
        <w:t>os būdu</w:t>
      </w:r>
      <w:r w:rsidRPr="007F1A90">
        <w:rPr>
          <w:rFonts w:ascii="Helvetica" w:hAnsi="Helvetica" w:cs="Arial"/>
          <w:sz w:val="20"/>
        </w:rPr>
        <w:t xml:space="preserve"> arba </w:t>
      </w:r>
      <w:r w:rsidR="00AA7AC1" w:rsidRPr="007F1A90">
        <w:rPr>
          <w:rFonts w:ascii="Helvetica" w:hAnsi="Helvetica" w:cs="Arial"/>
          <w:sz w:val="20"/>
        </w:rPr>
        <w:t xml:space="preserve">kaip </w:t>
      </w:r>
      <w:r w:rsidR="00221770" w:rsidRPr="007F1A90">
        <w:rPr>
          <w:rFonts w:ascii="Helvetica" w:hAnsi="Helvetica" w:cs="Arial"/>
          <w:sz w:val="20"/>
        </w:rPr>
        <w:t xml:space="preserve">IV </w:t>
      </w:r>
      <w:proofErr w:type="spellStart"/>
      <w:r w:rsidRPr="007F1A90">
        <w:rPr>
          <w:rFonts w:ascii="Helvetica" w:hAnsi="Helvetica" w:cs="Arial"/>
          <w:sz w:val="20"/>
        </w:rPr>
        <w:t>bol</w:t>
      </w:r>
      <w:r w:rsidR="005134EC" w:rsidRPr="007F1A90">
        <w:rPr>
          <w:rFonts w:ascii="Helvetica" w:hAnsi="Helvetica" w:cs="Arial"/>
          <w:sz w:val="20"/>
        </w:rPr>
        <w:t>i</w:t>
      </w:r>
      <w:r w:rsidRPr="007F1A90">
        <w:rPr>
          <w:rFonts w:ascii="Helvetica" w:hAnsi="Helvetica" w:cs="Arial"/>
          <w:sz w:val="20"/>
        </w:rPr>
        <w:t>us</w:t>
      </w:r>
      <w:r w:rsidR="00AA7AC1" w:rsidRPr="007F1A90">
        <w:rPr>
          <w:rFonts w:ascii="Helvetica" w:hAnsi="Helvetica" w:cs="Arial"/>
          <w:sz w:val="20"/>
        </w:rPr>
        <w:t>as</w:t>
      </w:r>
      <w:proofErr w:type="spellEnd"/>
      <w:r w:rsidRPr="007F1A90">
        <w:rPr>
          <w:rFonts w:ascii="Helvetica" w:hAnsi="Helvetica" w:cs="Arial"/>
          <w:sz w:val="20"/>
        </w:rPr>
        <w:t>, po to 2400 mg/m</w:t>
      </w:r>
      <w:r w:rsidR="00221770" w:rsidRPr="007F1A90">
        <w:rPr>
          <w:rFonts w:ascii="Helvetica" w:hAnsi="Helvetica" w:cs="Arial"/>
          <w:sz w:val="20"/>
        </w:rPr>
        <w:t>²</w:t>
      </w:r>
      <w:r w:rsidRPr="007F1A90">
        <w:rPr>
          <w:rFonts w:ascii="Helvetica" w:hAnsi="Helvetica" w:cs="Arial"/>
          <w:sz w:val="20"/>
        </w:rPr>
        <w:t xml:space="preserve"> 5-FU</w:t>
      </w:r>
      <w:r w:rsidR="00221770" w:rsidRPr="007F1A90">
        <w:rPr>
          <w:rFonts w:ascii="Helvetica" w:hAnsi="Helvetica" w:cs="Arial"/>
          <w:sz w:val="20"/>
        </w:rPr>
        <w:t xml:space="preserve"> įvedimą</w:t>
      </w:r>
      <w:r w:rsidRPr="007F1A90">
        <w:rPr>
          <w:rFonts w:ascii="Helvetica" w:hAnsi="Helvetica" w:cs="Arial"/>
          <w:sz w:val="20"/>
        </w:rPr>
        <w:t xml:space="preserve"> </w:t>
      </w:r>
      <w:r w:rsidR="00221770" w:rsidRPr="007F1A90">
        <w:rPr>
          <w:rFonts w:ascii="Helvetica" w:hAnsi="Helvetica" w:cs="Arial"/>
          <w:sz w:val="20"/>
        </w:rPr>
        <w:t xml:space="preserve">IV </w:t>
      </w:r>
      <w:r w:rsidRPr="007F1A90">
        <w:rPr>
          <w:rFonts w:ascii="Helvetica" w:hAnsi="Helvetica" w:cs="Arial"/>
          <w:sz w:val="20"/>
        </w:rPr>
        <w:t>infuzij</w:t>
      </w:r>
      <w:r w:rsidR="00AA7AC1" w:rsidRPr="007F1A90">
        <w:rPr>
          <w:rFonts w:ascii="Helvetica" w:hAnsi="Helvetica" w:cs="Arial"/>
          <w:sz w:val="20"/>
        </w:rPr>
        <w:t>os būdu</w:t>
      </w:r>
      <w:r w:rsidRPr="007F1A90">
        <w:rPr>
          <w:rFonts w:ascii="Helvetica" w:hAnsi="Helvetica" w:cs="Arial"/>
          <w:sz w:val="20"/>
        </w:rPr>
        <w:t xml:space="preserve"> per 44–48 valandas; ir</w:t>
      </w:r>
    </w:p>
    <w:p w14:paraId="28E1C225" w14:textId="0812A1E3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kur anti-FGFR2-Illb antikūnas ir chemoterapijos režimas </w:t>
      </w:r>
      <w:r w:rsidR="00221770" w:rsidRPr="007F1A90">
        <w:rPr>
          <w:rFonts w:ascii="Helvetica" w:hAnsi="Helvetica" w:cs="Arial"/>
          <w:sz w:val="20"/>
        </w:rPr>
        <w:t xml:space="preserve">yra </w:t>
      </w:r>
      <w:r w:rsidRPr="007F1A90">
        <w:rPr>
          <w:rFonts w:ascii="Helvetica" w:hAnsi="Helvetica" w:cs="Arial"/>
          <w:sz w:val="20"/>
        </w:rPr>
        <w:t xml:space="preserve">skiriami </w:t>
      </w:r>
      <w:r w:rsidR="00221770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 xml:space="preserve">kartą per 14 dienų, plius ar minus 3 dienos, arba </w:t>
      </w:r>
      <w:r w:rsidR="00221770" w:rsidRPr="007F1A90">
        <w:rPr>
          <w:rFonts w:ascii="Helvetica" w:hAnsi="Helvetica" w:cs="Arial"/>
          <w:sz w:val="20"/>
        </w:rPr>
        <w:t xml:space="preserve">vieną </w:t>
      </w:r>
      <w:r w:rsidRPr="007F1A90">
        <w:rPr>
          <w:rFonts w:ascii="Helvetica" w:hAnsi="Helvetica" w:cs="Arial"/>
          <w:sz w:val="20"/>
        </w:rPr>
        <w:t>kartą per 11–17 dienų.</w:t>
      </w:r>
    </w:p>
    <w:p w14:paraId="76EAFE2E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jc w:val="both"/>
        <w:rPr>
          <w:rFonts w:ascii="Helvetica" w:hAnsi="Helvetica" w:cs="Arial"/>
          <w:sz w:val="20"/>
        </w:rPr>
      </w:pPr>
    </w:p>
    <w:p w14:paraId="77E1C1AE" w14:textId="442D4408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16. Antikūnas, skirtas naudoti pagal 15 punktą, kur (a) anti-FGFR2-Illb antikūnas yra </w:t>
      </w:r>
      <w:r w:rsidR="00604785" w:rsidRPr="007F1A90">
        <w:rPr>
          <w:rFonts w:ascii="Helvetica" w:hAnsi="Helvetica" w:cs="Arial"/>
          <w:sz w:val="20"/>
        </w:rPr>
        <w:t xml:space="preserve">įvedamas </w:t>
      </w:r>
      <w:r w:rsidRPr="007F1A90">
        <w:rPr>
          <w:rFonts w:ascii="Helvetica" w:hAnsi="Helvetica" w:cs="Arial"/>
          <w:sz w:val="20"/>
        </w:rPr>
        <w:t xml:space="preserve">į veną 15 mg/kg doze, (b) anti-FGFR2-Illb antikūnas ir chemoterapijos schema yra skiriami kas 14 dienų tą pačią dieną, ir (c) vienkartinė 7,5 mg/kg anti-FGFR2-Illb antikūno dozė yra </w:t>
      </w:r>
      <w:r w:rsidR="00604785" w:rsidRPr="007F1A90">
        <w:rPr>
          <w:rFonts w:ascii="Helvetica" w:hAnsi="Helvetica" w:cs="Arial"/>
          <w:sz w:val="20"/>
        </w:rPr>
        <w:t xml:space="preserve">įvedama </w:t>
      </w:r>
      <w:r w:rsidRPr="007F1A90">
        <w:rPr>
          <w:rFonts w:ascii="Helvetica" w:hAnsi="Helvetica" w:cs="Arial"/>
          <w:sz w:val="20"/>
        </w:rPr>
        <w:t>praėjus 7 dienoms po pirmosios 15 mg/kg anti-FGFR2-Illb antikūno dozės ir prieš antrąją 15 mg/kg anti-FGFR2-Illb antikūno dozę.</w:t>
      </w:r>
    </w:p>
    <w:p w14:paraId="422C917C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2AD031EA" w14:textId="2C2E1D31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17. Antikūnas, skirtas naudoti pagal 15 arba 16 punktą, kur skrandžio vėžys anksčiau buvo nustatytas kaip pernelyg </w:t>
      </w:r>
      <w:r w:rsidR="00604785" w:rsidRPr="007F1A90">
        <w:rPr>
          <w:rFonts w:ascii="Helvetica" w:hAnsi="Helvetica" w:cs="Arial"/>
          <w:sz w:val="20"/>
        </w:rPr>
        <w:t xml:space="preserve">intensyviai </w:t>
      </w:r>
      <w:proofErr w:type="spellStart"/>
      <w:r w:rsidRPr="007F1A90">
        <w:rPr>
          <w:rFonts w:ascii="Helvetica" w:hAnsi="Helvetica" w:cs="Arial"/>
          <w:sz w:val="20"/>
        </w:rPr>
        <w:t>ekspresuojantis</w:t>
      </w:r>
      <w:proofErr w:type="spellEnd"/>
      <w:r w:rsidRPr="007F1A90">
        <w:rPr>
          <w:rFonts w:ascii="Helvetica" w:hAnsi="Helvetica" w:cs="Arial"/>
          <w:sz w:val="20"/>
        </w:rPr>
        <w:t xml:space="preserve"> FGFR2-Illb, kaip rodo IHC signalas 2+ arba 3+ bent 10 % naviko ląstelių</w:t>
      </w:r>
      <w:r w:rsidR="00524DBE" w:rsidRPr="007F1A90">
        <w:rPr>
          <w:rFonts w:ascii="Helvetica" w:hAnsi="Helvetica" w:cs="Arial"/>
          <w:sz w:val="20"/>
        </w:rPr>
        <w:t>,</w:t>
      </w:r>
      <w:r w:rsidRPr="007F1A90">
        <w:rPr>
          <w:rFonts w:ascii="Helvetica" w:hAnsi="Helvetica" w:cs="Arial"/>
          <w:sz w:val="20"/>
        </w:rPr>
        <w:t xml:space="preserve"> ir (arba) kur </w:t>
      </w:r>
      <w:r w:rsidR="003365CC" w:rsidRPr="007F1A90">
        <w:rPr>
          <w:rFonts w:ascii="Helvetica" w:hAnsi="Helvetica" w:cs="Arial"/>
          <w:sz w:val="20"/>
        </w:rPr>
        <w:t xml:space="preserve">anksčiau buvo nustatyta, kad </w:t>
      </w:r>
      <w:r w:rsidRPr="007F1A90">
        <w:rPr>
          <w:rFonts w:ascii="Helvetica" w:hAnsi="Helvetica" w:cs="Arial"/>
          <w:sz w:val="20"/>
        </w:rPr>
        <w:t xml:space="preserve">skrandžio vėžys turi FGFR2 geno </w:t>
      </w:r>
      <w:proofErr w:type="spellStart"/>
      <w:r w:rsidRPr="007F1A90">
        <w:rPr>
          <w:rFonts w:ascii="Helvetica" w:hAnsi="Helvetica" w:cs="Arial"/>
          <w:sz w:val="20"/>
        </w:rPr>
        <w:t>amplifikaciją</w:t>
      </w:r>
      <w:proofErr w:type="spellEnd"/>
      <w:r w:rsidRPr="007F1A90">
        <w:rPr>
          <w:rFonts w:ascii="Helvetica" w:hAnsi="Helvetica" w:cs="Arial"/>
          <w:sz w:val="20"/>
        </w:rPr>
        <w:t xml:space="preserve"> </w:t>
      </w:r>
      <w:proofErr w:type="spellStart"/>
      <w:r w:rsidR="003365CC" w:rsidRPr="007F1A90">
        <w:rPr>
          <w:rFonts w:ascii="Helvetica" w:hAnsi="Helvetica" w:cs="Arial"/>
          <w:sz w:val="20"/>
        </w:rPr>
        <w:t>ctDNR</w:t>
      </w:r>
      <w:proofErr w:type="spellEnd"/>
      <w:r w:rsidRPr="007F1A90">
        <w:rPr>
          <w:rFonts w:ascii="Helvetica" w:hAnsi="Helvetica" w:cs="Arial"/>
          <w:sz w:val="20"/>
        </w:rPr>
        <w:t>.</w:t>
      </w:r>
    </w:p>
    <w:p w14:paraId="28CDDE19" w14:textId="77777777" w:rsidR="007F1A90" w:rsidRPr="007F1A90" w:rsidRDefault="007F1A90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</w:p>
    <w:p w14:paraId="1017A1AC" w14:textId="4DCF693A" w:rsidR="0008444A" w:rsidRPr="007F1A90" w:rsidRDefault="0008444A" w:rsidP="007F1A90">
      <w:pPr>
        <w:pStyle w:val="prastasiniatinklio"/>
        <w:spacing w:before="0" w:beforeAutospacing="0" w:after="0" w:afterAutospacing="0" w:line="360" w:lineRule="auto"/>
        <w:ind w:firstLine="567"/>
        <w:jc w:val="both"/>
        <w:rPr>
          <w:rFonts w:ascii="Helvetica" w:hAnsi="Helvetica" w:cs="Arial"/>
          <w:sz w:val="20"/>
        </w:rPr>
      </w:pPr>
      <w:r w:rsidRPr="007F1A90">
        <w:rPr>
          <w:rFonts w:ascii="Helvetica" w:hAnsi="Helvetica" w:cs="Arial"/>
          <w:sz w:val="20"/>
        </w:rPr>
        <w:t xml:space="preserve">18. Antikūnas, skirtas naudoti pagal bet kurį iš 15–17 punktų, kur </w:t>
      </w:r>
      <w:r w:rsidR="003365CC" w:rsidRPr="007F1A90">
        <w:rPr>
          <w:rFonts w:ascii="Helvetica" w:hAnsi="Helvetica" w:cs="Arial"/>
          <w:sz w:val="20"/>
        </w:rPr>
        <w:t>subjektas</w:t>
      </w:r>
      <w:r w:rsidRPr="007F1A90">
        <w:rPr>
          <w:rFonts w:ascii="Helvetica" w:hAnsi="Helvetica" w:cs="Arial"/>
          <w:sz w:val="20"/>
        </w:rPr>
        <w:t xml:space="preserve"> prieš pirmąjį anti-FGFR2-Illb antikūno vartojimą </w:t>
      </w:r>
      <w:r w:rsidR="00C800FE" w:rsidRPr="007F1A90">
        <w:rPr>
          <w:rFonts w:ascii="Helvetica" w:hAnsi="Helvetica" w:cs="Arial"/>
          <w:sz w:val="20"/>
        </w:rPr>
        <w:t xml:space="preserve">praėjo </w:t>
      </w:r>
      <w:r w:rsidRPr="007F1A90">
        <w:rPr>
          <w:rFonts w:ascii="Helvetica" w:hAnsi="Helvetica" w:cs="Arial"/>
          <w:sz w:val="20"/>
        </w:rPr>
        <w:t>du chemoterapijos kursus.</w:t>
      </w:r>
    </w:p>
    <w:sectPr w:rsidR="0008444A" w:rsidRPr="007F1A90" w:rsidSect="007F1A90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D61A2" w14:textId="77777777" w:rsidR="007120AA" w:rsidRDefault="007120AA" w:rsidP="0068700E">
      <w:pPr>
        <w:spacing w:after="0" w:line="240" w:lineRule="auto"/>
      </w:pPr>
      <w:r>
        <w:separator/>
      </w:r>
    </w:p>
  </w:endnote>
  <w:endnote w:type="continuationSeparator" w:id="0">
    <w:p w14:paraId="199A4A5C" w14:textId="77777777" w:rsidR="007120AA" w:rsidRDefault="007120AA" w:rsidP="00687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2DED6" w14:textId="77777777" w:rsidR="007120AA" w:rsidRDefault="007120AA" w:rsidP="0068700E">
      <w:pPr>
        <w:spacing w:after="0" w:line="240" w:lineRule="auto"/>
      </w:pPr>
      <w:r>
        <w:separator/>
      </w:r>
    </w:p>
  </w:footnote>
  <w:footnote w:type="continuationSeparator" w:id="0">
    <w:p w14:paraId="34393A7D" w14:textId="77777777" w:rsidR="007120AA" w:rsidRDefault="007120AA" w:rsidP="00687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057DA"/>
    <w:multiLevelType w:val="multilevel"/>
    <w:tmpl w:val="199A951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25C38"/>
    <w:multiLevelType w:val="multilevel"/>
    <w:tmpl w:val="4E846E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622AF0"/>
    <w:multiLevelType w:val="multilevel"/>
    <w:tmpl w:val="F9C47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9748DC"/>
    <w:multiLevelType w:val="multilevel"/>
    <w:tmpl w:val="C84827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5928037">
    <w:abstractNumId w:val="2"/>
  </w:num>
  <w:num w:numId="2" w16cid:durableId="27880969">
    <w:abstractNumId w:val="3"/>
  </w:num>
  <w:num w:numId="3" w16cid:durableId="650064736">
    <w:abstractNumId w:val="1"/>
  </w:num>
  <w:num w:numId="4" w16cid:durableId="1906914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A7"/>
    <w:rsid w:val="00076A6B"/>
    <w:rsid w:val="0008444A"/>
    <w:rsid w:val="000B0DE6"/>
    <w:rsid w:val="000D40A7"/>
    <w:rsid w:val="001D47FF"/>
    <w:rsid w:val="00221770"/>
    <w:rsid w:val="002B28B7"/>
    <w:rsid w:val="003365CC"/>
    <w:rsid w:val="00367D68"/>
    <w:rsid w:val="0039155C"/>
    <w:rsid w:val="003A4B1E"/>
    <w:rsid w:val="003C10FA"/>
    <w:rsid w:val="003C4A59"/>
    <w:rsid w:val="00404983"/>
    <w:rsid w:val="00451F77"/>
    <w:rsid w:val="004E7955"/>
    <w:rsid w:val="005134EC"/>
    <w:rsid w:val="005138DE"/>
    <w:rsid w:val="00524DBE"/>
    <w:rsid w:val="00585EA6"/>
    <w:rsid w:val="005F6B18"/>
    <w:rsid w:val="00604785"/>
    <w:rsid w:val="0068700E"/>
    <w:rsid w:val="007120AA"/>
    <w:rsid w:val="007128A8"/>
    <w:rsid w:val="00726F4F"/>
    <w:rsid w:val="007F1A90"/>
    <w:rsid w:val="0086054D"/>
    <w:rsid w:val="00860B72"/>
    <w:rsid w:val="00872B00"/>
    <w:rsid w:val="009620F5"/>
    <w:rsid w:val="00A1386D"/>
    <w:rsid w:val="00AA7AC1"/>
    <w:rsid w:val="00AB205F"/>
    <w:rsid w:val="00AD35CB"/>
    <w:rsid w:val="00B2074A"/>
    <w:rsid w:val="00C800FE"/>
    <w:rsid w:val="00C8640C"/>
    <w:rsid w:val="00C95C2D"/>
    <w:rsid w:val="00CE5BCD"/>
    <w:rsid w:val="00CF4EFF"/>
    <w:rsid w:val="00D65B20"/>
    <w:rsid w:val="00D713BA"/>
    <w:rsid w:val="00DA33FF"/>
    <w:rsid w:val="00ED4FC9"/>
    <w:rsid w:val="00FA3A7C"/>
    <w:rsid w:val="00FE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2A217"/>
  <w15:chartTrackingRefBased/>
  <w15:docId w15:val="{957D137A-AD9E-4905-8A5A-6F60E857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D4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D4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D4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D4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D4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D4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D4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D4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D4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D4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D4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D4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D40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D40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D40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D40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D40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D40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D4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D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D4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D4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D4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D40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D40A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D40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D4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D40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D40A7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084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08444A"/>
    <w:rPr>
      <w:b/>
      <w:bCs/>
    </w:rPr>
  </w:style>
  <w:style w:type="paragraph" w:styleId="Pataisymai">
    <w:name w:val="Revision"/>
    <w:hidden/>
    <w:uiPriority w:val="99"/>
    <w:semiHidden/>
    <w:rsid w:val="005138DE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687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8700E"/>
  </w:style>
  <w:style w:type="paragraph" w:styleId="Porat">
    <w:name w:val="footer"/>
    <w:basedOn w:val="prastasis"/>
    <w:link w:val="PoratDiagrama"/>
    <w:uiPriority w:val="99"/>
    <w:unhideWhenUsed/>
    <w:rsid w:val="00687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8700E"/>
  </w:style>
  <w:style w:type="character" w:styleId="Hipersaitas">
    <w:name w:val="Hyperlink"/>
    <w:basedOn w:val="Numatytasispastraiposriftas"/>
    <w:uiPriority w:val="99"/>
    <w:unhideWhenUsed/>
    <w:rsid w:val="00A1386D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13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1228</Words>
  <Characters>6921</Characters>
  <Application>Microsoft Office Word</Application>
  <DocSecurity>0</DocSecurity>
  <Lines>119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Asanavičius</dc:creator>
  <cp:keywords>, docId:F06B2F49D9DBB579FB7486E84DC7B453</cp:keywords>
  <dc:description/>
  <cp:lastModifiedBy>Rasa Gurčytė</cp:lastModifiedBy>
  <cp:revision>12</cp:revision>
  <dcterms:created xsi:type="dcterms:W3CDTF">2025-09-11T12:24:00Z</dcterms:created>
  <dcterms:modified xsi:type="dcterms:W3CDTF">2025-09-29T08:09:00Z</dcterms:modified>
</cp:coreProperties>
</file>