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1A77A" w14:textId="77777777" w:rsidR="006246DE" w:rsidRPr="005C279C" w:rsidRDefault="006246DE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1.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anemijos gydymo būdui subjekt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sergančiam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mieloproliferacine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neoplazma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susijusia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mielofibroze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kur subjektas anksčiau buvo gyd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yt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as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ruksolitinibu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būdas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apima farmaciniu požiūriu veiksmingo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signal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perdavimo inhibitoriaus kiekio skyrimą subjektui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sulietas baltymas, apimantis: (a)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ekstraląstelinio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domeno fragmentą, kur fragmentas apima aminorūgščių seką SEQ ID Nr. 9; (b) 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jungtuką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; ir (c)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Fc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73044172" w14:textId="77777777" w:rsidR="00677CB1" w:rsidRPr="005C279C" w:rsidRDefault="00677CB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7AFB19B" w14:textId="226277AE" w:rsidR="006246DE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2.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1 punktą, kur gydymas sumažina arba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palengv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ina vieną arba daugiau su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mieloproliferacine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neoplazma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susijusios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mielofibrozės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simptomų subjekte.</w:t>
      </w:r>
    </w:p>
    <w:p w14:paraId="4BC56E84" w14:textId="77777777" w:rsidR="006246DE" w:rsidRPr="005C279C" w:rsidRDefault="006246DE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33BE985" w14:textId="0A6F38B1" w:rsidR="00257591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3.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2 punktą, kur simptomas yra vienas arba daugiau iš</w:t>
      </w:r>
      <w:r w:rsidR="00847283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šių: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nuovargio, naktinio prakaitavimo, niežulio, diskomforto pilvo srityje, skausmo po šonkauliais kairėje pusėje, ankstyvo sotumo</w:t>
      </w:r>
      <w:r w:rsidR="00847283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jausmo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ar kaulų skausmo.</w:t>
      </w:r>
    </w:p>
    <w:p w14:paraId="5AEF06E4" w14:textId="77777777" w:rsidR="00677CB1" w:rsidRPr="005C279C" w:rsidRDefault="00677CB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F3C217F" w14:textId="443B425C" w:rsidR="00847283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4.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iš 1-3 punktų, kur subjektas vartojo </w:t>
      </w:r>
      <w:r w:rsidR="0037772D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pastovi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ą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ruksolitinibo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dozę </w:t>
      </w:r>
      <w:r w:rsidR="00847283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bent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112 dienų prieš pat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847283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signalo perdavimo 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inhibitoriaus skyrimą subjektui.</w:t>
      </w:r>
    </w:p>
    <w:p w14:paraId="4C3783F1" w14:textId="77777777" w:rsidR="00677CB1" w:rsidRPr="005C279C" w:rsidRDefault="00677CB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80DBB32" w14:textId="33A1753B" w:rsidR="00243061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5.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iš 1-4 punktų, kur </w:t>
      </w:r>
      <w:r w:rsidR="0098617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su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mieloproliferacin</w:t>
      </w:r>
      <w:r w:rsidR="0098617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neoplazma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susijusi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</w:p>
    <w:p w14:paraId="11D31EFF" w14:textId="541B35B8" w:rsidR="00243061" w:rsidRPr="005C279C" w:rsidRDefault="00986176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i) pirminė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</w:t>
      </w:r>
    </w:p>
    <w:p w14:paraId="6B58C818" w14:textId="1E8F69D3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(ii)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</w:t>
      </w:r>
      <w:r w:rsidR="0098617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tikrosios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policitemijos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arba</w:t>
      </w:r>
    </w:p>
    <w:p w14:paraId="4801280B" w14:textId="32E8B327" w:rsidR="00243061" w:rsidRPr="005C279C" w:rsidRDefault="00986176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iii)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mielofibrozė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po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esencinės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trombocitemijos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49579386" w14:textId="77777777" w:rsidR="006849C1" w:rsidRPr="005C279C" w:rsidRDefault="006849C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4844E57" w14:textId="38325BEA" w:rsidR="00243061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6.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 iš 1-5 punktų, kur subjekt</w:t>
      </w:r>
      <w:r w:rsidR="0098617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ui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72BE46EE" w14:textId="51B0DB78" w:rsidR="00243061" w:rsidRPr="005C279C" w:rsidRDefault="00986176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bookmarkStart w:id="0" w:name="_Hlk177687653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nėra reikalingas reguliarus raudonųjų kraujo kūnelių perpylimas</w:t>
      </w:r>
      <w:bookmarkEnd w:id="0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; arba</w:t>
      </w:r>
    </w:p>
    <w:p w14:paraId="08B404D0" w14:textId="124FD3D2" w:rsidR="00243061" w:rsidRPr="005C279C" w:rsidRDefault="00986176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ii) 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yra reikalingas reguliarus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raudonųjų kraujo kūnelių perpylim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.</w:t>
      </w:r>
    </w:p>
    <w:p w14:paraId="297D5F61" w14:textId="77777777" w:rsidR="00BE4020" w:rsidRPr="005C279C" w:rsidRDefault="00BE4020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230271E7" w14:textId="083E34DD" w:rsidR="00BE4020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7.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6 punktą, kur:</w:t>
      </w:r>
    </w:p>
    <w:p w14:paraId="0C35E88D" w14:textId="5C72E86D" w:rsidR="00BE4020" w:rsidRPr="005C279C" w:rsidRDefault="00BE4020" w:rsidP="005C279C">
      <w:pPr>
        <w:pStyle w:val="Sraopastraipa"/>
        <w:overflowPunct w:val="0"/>
        <w:spacing w:after="0" w:line="360" w:lineRule="auto"/>
        <w:ind w:left="0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 subjektui nėra reikalingas reguliarus raudonųjų kraujo kūnelių perpylimas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jei </w:t>
      </w:r>
      <w:r w:rsidRPr="005C279C">
        <w:rPr>
          <w:rFonts w:ascii="Helvetica" w:hAnsi="Helvetica" w:cs="Helvetica"/>
          <w:sz w:val="20"/>
          <w:szCs w:val="24"/>
        </w:rPr>
        <w:t xml:space="preserve">per 84 dienas iki </w:t>
      </w:r>
      <w:proofErr w:type="spellStart"/>
      <w:r w:rsidRPr="005C279C">
        <w:rPr>
          <w:rFonts w:ascii="Helvetica" w:hAnsi="Helvetica" w:cs="Helvetica"/>
          <w:sz w:val="20"/>
          <w:szCs w:val="24"/>
        </w:rPr>
        <w:t>ActRIIB</w:t>
      </w:r>
      <w:proofErr w:type="spellEnd"/>
      <w:r w:rsidRPr="005C279C">
        <w:rPr>
          <w:rFonts w:ascii="Helvetica" w:hAnsi="Helvetica" w:cs="Helvetica"/>
          <w:sz w:val="20"/>
          <w:szCs w:val="24"/>
        </w:rPr>
        <w:t xml:space="preserve"> signalo perdavimo inhibitoriaus skyrimo subjektui</w:t>
      </w:r>
      <w:r w:rsidR="00794509" w:rsidRPr="005C279C">
        <w:rPr>
          <w:rFonts w:ascii="Helvetica" w:hAnsi="Helvetica" w:cs="Helvetica"/>
          <w:sz w:val="20"/>
          <w:szCs w:val="24"/>
        </w:rPr>
        <w:t>,</w:t>
      </w:r>
      <w:r w:rsidRPr="005C279C">
        <w:rPr>
          <w:rFonts w:ascii="Helvetica" w:hAnsi="Helvetica" w:cs="Helvetica"/>
          <w:sz w:val="20"/>
          <w:szCs w:val="24"/>
        </w:rPr>
        <w:t xml:space="preserve"> </w:t>
      </w:r>
      <w:r w:rsidR="00794509" w:rsidRPr="005C279C">
        <w:rPr>
          <w:rFonts w:ascii="Helvetica" w:hAnsi="Helvetica" w:cs="Helvetica"/>
          <w:sz w:val="20"/>
          <w:szCs w:val="24"/>
        </w:rPr>
        <w:t xml:space="preserve">jam </w:t>
      </w:r>
      <w:r w:rsidRPr="005C279C">
        <w:rPr>
          <w:rFonts w:ascii="Helvetica" w:hAnsi="Helvetica" w:cs="Helvetica"/>
          <w:sz w:val="20"/>
          <w:szCs w:val="24"/>
        </w:rPr>
        <w:t>nebuvo perpiltas nė vienas eritrocitų vienetas; arba</w:t>
      </w:r>
    </w:p>
    <w:p w14:paraId="35A846DA" w14:textId="21EE1110" w:rsidR="00243061" w:rsidRPr="005C279C" w:rsidRDefault="00BE4020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ii)</w:t>
      </w:r>
      <w:r w:rsidR="00794509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subjektui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reikalingas reguliarus raudonųjų kraujo kūnelių perpylimas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jei </w:t>
      </w:r>
      <w:r w:rsidR="00320D95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kas 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28 dienas per ne trumpesnį kaip 84 dienų laikotarpį iki </w:t>
      </w:r>
      <w:proofErr w:type="spellStart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794509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signalo perdavimo inhibitoriaus 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skyrimo</w:t>
      </w:r>
      <w:r w:rsidR="00794509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subjektui,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vidutinis raudonųjų kraujo kūnelių perpylimo dažnis </w:t>
      </w:r>
      <w:r w:rsidR="00F67A8D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taikomas subjektui, </w:t>
      </w:r>
      <w:r w:rsidR="000A6F9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buvo 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2–4 raudonųjų kraujo kūnelių vienetai.</w:t>
      </w:r>
    </w:p>
    <w:p w14:paraId="16C46AB4" w14:textId="77777777" w:rsidR="006849C1" w:rsidRPr="005C279C" w:rsidRDefault="006849C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3F2BEAA" w14:textId="41AF3844" w:rsidR="000A6F96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8.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 iš 1-7 punktų, kur farmaciniu požiūriu</w:t>
      </w:r>
      <w:r w:rsidR="000A6F9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veiksmingas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kiekis yra 0,33 mg/kg, 0,45 mg/kg, 0,6 mg/kg, 0,8 mg/kg, 1 mg/kg, 1,33 mg/kg. 1,75 mg/kg arba 2,0 mg/kg, pasirinktinai</w:t>
      </w:r>
      <w:r w:rsidR="000A6F9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kur farmaciniu požiūriu veiksmingas kiekis yra 1,0 mg/kg.</w:t>
      </w:r>
    </w:p>
    <w:p w14:paraId="41845390" w14:textId="77777777" w:rsidR="000A6F96" w:rsidRPr="005C279C" w:rsidRDefault="000A6F96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010AB8E" w14:textId="557EC1F9" w:rsidR="00243061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9.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iš 1-8 punktų, kur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skiriamas subjektui:</w:t>
      </w:r>
    </w:p>
    <w:p w14:paraId="7A9256FA" w14:textId="20B1968F" w:rsidR="00243061" w:rsidRPr="005C279C" w:rsidRDefault="000A6F96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i) kartą per 21 dieną, kartą per 28 dienas arba kartą per 48 dienas;</w:t>
      </w:r>
    </w:p>
    <w:p w14:paraId="5B1FA057" w14:textId="77777777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 į veną arba po oda; arba</w:t>
      </w:r>
    </w:p>
    <w:p w14:paraId="67571C9E" w14:textId="57E9B407" w:rsidR="00243061" w:rsidRPr="005C279C" w:rsidRDefault="000A6F96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</w:t>
      </w:r>
      <w:r w:rsidR="00243061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iii) po oda kartą per 21 dieną.</w:t>
      </w:r>
    </w:p>
    <w:p w14:paraId="4568B809" w14:textId="77777777" w:rsidR="00F67A8D" w:rsidRPr="005C279C" w:rsidRDefault="00F67A8D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016680FC" w14:textId="7AE4566E" w:rsidR="00847283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lastRenderedPageBreak/>
        <w:t xml:space="preserve">10.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iš 1-9 punktų, kur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IgG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IgG1.</w:t>
      </w:r>
    </w:p>
    <w:p w14:paraId="3F2A66A5" w14:textId="7E07B567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58B0A0F4" w14:textId="5D842B5D" w:rsidR="00243061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11.</w:t>
      </w:r>
      <w:r w:rsidR="005C279C" w:rsidRPr="005C279C">
        <w:rPr>
          <w:rFonts w:ascii="Helvetica" w:eastAsia="Times New Roman" w:hAnsi="Helvetica" w:cs="Helvetica"/>
          <w:b/>
          <w:bCs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iš 1-9 punktų, kur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</w:t>
      </w:r>
    </w:p>
    <w:p w14:paraId="0B1BA8C1" w14:textId="67627CBE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(i)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</w:t>
      </w:r>
      <w:r w:rsidR="000A6F9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as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</w:t>
      </w:r>
      <w:r w:rsidR="000A6F96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tis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aminorūgščių seką SEQ ID Nr. 11;</w:t>
      </w:r>
    </w:p>
    <w:p w14:paraId="3F25AE1C" w14:textId="77777777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(ii)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apimantis aminorūgščių seką, susidedančią iš SEQ ID Nr. 11; arba</w:t>
      </w:r>
    </w:p>
    <w:p w14:paraId="23953247" w14:textId="77777777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(iii)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polipeptidas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susidedantis iš aminorūgščių sekos, pateiktos SEQ ID Nr. 11.</w:t>
      </w:r>
    </w:p>
    <w:p w14:paraId="37CC0848" w14:textId="77777777" w:rsidR="006849C1" w:rsidRPr="005C279C" w:rsidRDefault="006849C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69A9F03E" w14:textId="0CF73177" w:rsidR="00722E1D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12.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 iš 1-11 punktų, kur subjektas yra žmogus.</w:t>
      </w:r>
    </w:p>
    <w:p w14:paraId="1FC55AE7" w14:textId="77777777" w:rsidR="00F67A8D" w:rsidRPr="005C279C" w:rsidRDefault="00F67A8D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B891313" w14:textId="0833FA82" w:rsidR="00243061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13.</w:t>
      </w:r>
      <w:r w:rsidR="005C279C" w:rsidRPr="005C279C">
        <w:rPr>
          <w:rFonts w:ascii="Helvetica" w:eastAsia="Times New Roman" w:hAnsi="Helvetica" w:cs="Helvetica"/>
          <w:b/>
          <w:bCs/>
          <w:kern w:val="0"/>
          <w:sz w:val="20"/>
          <w:szCs w:val="24"/>
          <w:lang w:eastAsia="lt-LT"/>
          <w14:ligatures w14:val="none"/>
        </w:rPr>
        <w:t xml:space="preserve">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 iš 1-7 punktų, kur būdas apima 0,33 mg/kg, 0,45 mg/kg, 0,6 mg/kg, 0,8 mg/kg, 1 mg/kg</w:t>
      </w:r>
      <w:r w:rsidR="00A25904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1,33 mg/kg, 1,75 mg/kg arba 2,0 mg/kg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signal</w:t>
      </w:r>
      <w:r w:rsidR="00A25904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 perdavimo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inhibitoriaus</w:t>
      </w:r>
      <w:r w:rsidR="00A25904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dozės skyrimą subjektui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kur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skiriamas subjektui po oda kartą per 21 dieną, ir kur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:</w:t>
      </w:r>
    </w:p>
    <w:p w14:paraId="54ADBCA8" w14:textId="77777777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(i) apima aminorūgščių seką SEQ ID Nr. 11;</w:t>
      </w:r>
    </w:p>
    <w:p w14:paraId="282B6382" w14:textId="77777777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(ii) apima aminorūgščių seką, susidedančią iš aminorūgščių sekos SEQ ID Nr. 11; arba</w:t>
      </w:r>
    </w:p>
    <w:p w14:paraId="239529FA" w14:textId="77777777" w:rsidR="00243061" w:rsidRPr="005C279C" w:rsidRDefault="0024306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(iii) susideda iš aminorūgščių sekos SEQ ID Nr. 11.</w:t>
      </w:r>
    </w:p>
    <w:p w14:paraId="4F75142A" w14:textId="77777777" w:rsidR="00677CB1" w:rsidRPr="005C279C" w:rsidRDefault="00677CB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7252D631" w14:textId="3A7715A9" w:rsidR="00722E1D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14.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, skirtas naudoti pagal bet kurį iš 1-13 punktų, kur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yra suformu</w:t>
      </w:r>
      <w:r w:rsidR="00A25904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lu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otas su farmaciniu požiūriu priimtinu nešikliu kaip farmacinė kompozicija.</w:t>
      </w:r>
    </w:p>
    <w:p w14:paraId="0997FA36" w14:textId="77777777" w:rsidR="00677CB1" w:rsidRPr="005C279C" w:rsidRDefault="00677CB1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p w14:paraId="315382B7" w14:textId="5A7F5217" w:rsidR="002F1126" w:rsidRPr="005C279C" w:rsidRDefault="00243061" w:rsidP="005C279C">
      <w:pPr>
        <w:overflowPunct w:val="0"/>
        <w:spacing w:after="0" w:line="360" w:lineRule="auto"/>
        <w:ind w:firstLine="567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15. </w:t>
      </w:r>
      <w:proofErr w:type="spellStart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ActRIIB</w:t>
      </w:r>
      <w:proofErr w:type="spellEnd"/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 xml:space="preserve"> </w:t>
      </w:r>
      <w:r w:rsidR="006246DE"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signalo perdavimo inhibitorius</w:t>
      </w:r>
      <w:r w:rsidRPr="005C279C"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  <w:t>, skirtas naudoti pagal bet kurį iš 1-14 punktų, kur fragmentas susideda iš aminorūgščių sekos SEQ ID Nr. 9.</w:t>
      </w:r>
    </w:p>
    <w:p w14:paraId="624DEF73" w14:textId="77777777" w:rsidR="0044075D" w:rsidRPr="005C279C" w:rsidRDefault="0044075D" w:rsidP="005C279C">
      <w:pPr>
        <w:overflowPunct w:val="0"/>
        <w:spacing w:after="0" w:line="360" w:lineRule="auto"/>
        <w:jc w:val="both"/>
        <w:rPr>
          <w:rFonts w:ascii="Helvetica" w:eastAsia="Times New Roman" w:hAnsi="Helvetica" w:cs="Helvetica"/>
          <w:kern w:val="0"/>
          <w:sz w:val="20"/>
          <w:szCs w:val="24"/>
          <w:lang w:eastAsia="lt-LT"/>
          <w14:ligatures w14:val="none"/>
        </w:rPr>
      </w:pPr>
    </w:p>
    <w:sectPr w:rsidR="0044075D" w:rsidRPr="005C279C" w:rsidSect="005C279C">
      <w:pgSz w:w="11906" w:h="16838" w:code="9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FDA8" w14:textId="77777777" w:rsidR="00864BB5" w:rsidRDefault="00864BB5" w:rsidP="00AA05B0">
      <w:pPr>
        <w:spacing w:after="0" w:line="240" w:lineRule="auto"/>
      </w:pPr>
      <w:r>
        <w:separator/>
      </w:r>
    </w:p>
  </w:endnote>
  <w:endnote w:type="continuationSeparator" w:id="0">
    <w:p w14:paraId="3AC1EB8C" w14:textId="77777777" w:rsidR="00864BB5" w:rsidRDefault="00864BB5" w:rsidP="00AA0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968523" w14:textId="77777777" w:rsidR="00864BB5" w:rsidRDefault="00864BB5" w:rsidP="00AA05B0">
      <w:pPr>
        <w:spacing w:after="0" w:line="240" w:lineRule="auto"/>
      </w:pPr>
      <w:r>
        <w:separator/>
      </w:r>
    </w:p>
  </w:footnote>
  <w:footnote w:type="continuationSeparator" w:id="0">
    <w:p w14:paraId="43AE0E71" w14:textId="77777777" w:rsidR="00864BB5" w:rsidRDefault="00864BB5" w:rsidP="00AA0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3E0BA1"/>
    <w:multiLevelType w:val="multilevel"/>
    <w:tmpl w:val="A0625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A7692"/>
    <w:multiLevelType w:val="multilevel"/>
    <w:tmpl w:val="A0625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D6AC4"/>
    <w:multiLevelType w:val="multilevel"/>
    <w:tmpl w:val="A0625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EC59F5"/>
    <w:multiLevelType w:val="hybridMultilevel"/>
    <w:tmpl w:val="E4124734"/>
    <w:lvl w:ilvl="0" w:tplc="4A0867EA">
      <w:start w:val="1"/>
      <w:numFmt w:val="lowerRoman"/>
      <w:lvlText w:val="(%1)"/>
      <w:lvlJc w:val="left"/>
      <w:pPr>
        <w:ind w:left="119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0" w:hanging="360"/>
      </w:pPr>
    </w:lvl>
    <w:lvl w:ilvl="2" w:tplc="0427001B" w:tentative="1">
      <w:start w:val="1"/>
      <w:numFmt w:val="lowerRoman"/>
      <w:lvlText w:val="%3."/>
      <w:lvlJc w:val="right"/>
      <w:pPr>
        <w:ind w:left="2270" w:hanging="180"/>
      </w:pPr>
    </w:lvl>
    <w:lvl w:ilvl="3" w:tplc="0427000F" w:tentative="1">
      <w:start w:val="1"/>
      <w:numFmt w:val="decimal"/>
      <w:lvlText w:val="%4."/>
      <w:lvlJc w:val="left"/>
      <w:pPr>
        <w:ind w:left="2990" w:hanging="360"/>
      </w:pPr>
    </w:lvl>
    <w:lvl w:ilvl="4" w:tplc="04270019" w:tentative="1">
      <w:start w:val="1"/>
      <w:numFmt w:val="lowerLetter"/>
      <w:lvlText w:val="%5."/>
      <w:lvlJc w:val="left"/>
      <w:pPr>
        <w:ind w:left="3710" w:hanging="360"/>
      </w:pPr>
    </w:lvl>
    <w:lvl w:ilvl="5" w:tplc="0427001B" w:tentative="1">
      <w:start w:val="1"/>
      <w:numFmt w:val="lowerRoman"/>
      <w:lvlText w:val="%6."/>
      <w:lvlJc w:val="right"/>
      <w:pPr>
        <w:ind w:left="4430" w:hanging="180"/>
      </w:pPr>
    </w:lvl>
    <w:lvl w:ilvl="6" w:tplc="0427000F" w:tentative="1">
      <w:start w:val="1"/>
      <w:numFmt w:val="decimal"/>
      <w:lvlText w:val="%7."/>
      <w:lvlJc w:val="left"/>
      <w:pPr>
        <w:ind w:left="5150" w:hanging="360"/>
      </w:pPr>
    </w:lvl>
    <w:lvl w:ilvl="7" w:tplc="04270019" w:tentative="1">
      <w:start w:val="1"/>
      <w:numFmt w:val="lowerLetter"/>
      <w:lvlText w:val="%8."/>
      <w:lvlJc w:val="left"/>
      <w:pPr>
        <w:ind w:left="5870" w:hanging="360"/>
      </w:pPr>
    </w:lvl>
    <w:lvl w:ilvl="8" w:tplc="0427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4" w15:restartNumberingAfterBreak="0">
    <w:nsid w:val="6ADD69CF"/>
    <w:multiLevelType w:val="multilevel"/>
    <w:tmpl w:val="A0625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374D19"/>
    <w:multiLevelType w:val="hybridMultilevel"/>
    <w:tmpl w:val="6660D7A2"/>
    <w:lvl w:ilvl="0" w:tplc="31747A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4D679BC"/>
    <w:multiLevelType w:val="multilevel"/>
    <w:tmpl w:val="A0625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3025021">
    <w:abstractNumId w:val="2"/>
  </w:num>
  <w:num w:numId="2" w16cid:durableId="1754350287">
    <w:abstractNumId w:val="6"/>
  </w:num>
  <w:num w:numId="3" w16cid:durableId="1564174882">
    <w:abstractNumId w:val="0"/>
  </w:num>
  <w:num w:numId="4" w16cid:durableId="577594176">
    <w:abstractNumId w:val="1"/>
  </w:num>
  <w:num w:numId="5" w16cid:durableId="46149651">
    <w:abstractNumId w:val="4"/>
  </w:num>
  <w:num w:numId="6" w16cid:durableId="439493217">
    <w:abstractNumId w:val="5"/>
  </w:num>
  <w:num w:numId="7" w16cid:durableId="46539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61"/>
    <w:rsid w:val="000A6F96"/>
    <w:rsid w:val="000C38A3"/>
    <w:rsid w:val="00156AFB"/>
    <w:rsid w:val="001A6E79"/>
    <w:rsid w:val="001A7E9C"/>
    <w:rsid w:val="002112F3"/>
    <w:rsid w:val="00220952"/>
    <w:rsid w:val="00243061"/>
    <w:rsid w:val="00257591"/>
    <w:rsid w:val="0028042E"/>
    <w:rsid w:val="002F1126"/>
    <w:rsid w:val="00320D95"/>
    <w:rsid w:val="0037772D"/>
    <w:rsid w:val="0044075D"/>
    <w:rsid w:val="0048239F"/>
    <w:rsid w:val="00485853"/>
    <w:rsid w:val="005C279C"/>
    <w:rsid w:val="006246DE"/>
    <w:rsid w:val="00677CB1"/>
    <w:rsid w:val="006849C1"/>
    <w:rsid w:val="00702E1E"/>
    <w:rsid w:val="00722E1D"/>
    <w:rsid w:val="00757040"/>
    <w:rsid w:val="00794509"/>
    <w:rsid w:val="00847283"/>
    <w:rsid w:val="00852AE2"/>
    <w:rsid w:val="00864BB5"/>
    <w:rsid w:val="0086556E"/>
    <w:rsid w:val="00895907"/>
    <w:rsid w:val="00986176"/>
    <w:rsid w:val="009C0DBB"/>
    <w:rsid w:val="00A23911"/>
    <w:rsid w:val="00A25904"/>
    <w:rsid w:val="00AA05B0"/>
    <w:rsid w:val="00BE4020"/>
    <w:rsid w:val="00CE0EB9"/>
    <w:rsid w:val="00D401A0"/>
    <w:rsid w:val="00F07EB8"/>
    <w:rsid w:val="00F11C40"/>
    <w:rsid w:val="00F67A8D"/>
    <w:rsid w:val="00F81B04"/>
    <w:rsid w:val="00F9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CDC12B1"/>
  <w15:chartTrackingRefBased/>
  <w15:docId w15:val="{689BDED7-804A-4364-8285-FD05C1EB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9C0D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9C0DBB"/>
    <w:rPr>
      <w:b/>
      <w:bCs/>
    </w:rPr>
  </w:style>
  <w:style w:type="paragraph" w:styleId="Sraopastraipa">
    <w:name w:val="List Paragraph"/>
    <w:basedOn w:val="prastasis"/>
    <w:uiPriority w:val="34"/>
    <w:qFormat/>
    <w:rsid w:val="009C0DB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849C1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849C1"/>
    <w:rPr>
      <w:rFonts w:ascii="Arial" w:hAnsi="Arial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AA05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A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7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4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6D78E-4E76-45E5-959C-5EE230218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622</Words>
  <Characters>3898</Characters>
  <Application>Microsoft Office Word</Application>
  <DocSecurity>0</DocSecurity>
  <Lines>74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Raimonda Kvietkauskaitė</cp:lastModifiedBy>
  <cp:revision>14</cp:revision>
  <dcterms:created xsi:type="dcterms:W3CDTF">2024-09-19T19:21:00Z</dcterms:created>
  <dcterms:modified xsi:type="dcterms:W3CDTF">2024-10-30T09:21:00Z</dcterms:modified>
</cp:coreProperties>
</file>