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026DE252" w:rsidR="004F0BF7" w:rsidRPr="00620250" w:rsidRDefault="00647969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1. </w:t>
      </w:r>
      <w:proofErr w:type="spellStart"/>
      <w:r w:rsidR="00DF2CED" w:rsidRPr="00620250">
        <w:rPr>
          <w:rFonts w:ascii="Helvetica" w:eastAsia="Arial" w:hAnsi="Helvetica" w:cs="Arial"/>
          <w:sz w:val="20"/>
        </w:rPr>
        <w:t>Farneziltransferazės</w:t>
      </w:r>
      <w:proofErr w:type="spellEnd"/>
      <w:r w:rsidR="00DF2CED" w:rsidRPr="00620250">
        <w:rPr>
          <w:rFonts w:ascii="Helvetica" w:eastAsia="Arial" w:hAnsi="Helvetica" w:cs="Arial"/>
          <w:sz w:val="20"/>
        </w:rPr>
        <w:t xml:space="preserve"> inhibitorius (FTI), skirtas naudoti žmogaus galvos ir kaklo </w:t>
      </w:r>
      <w:proofErr w:type="spellStart"/>
      <w:r w:rsidR="00DF2CED" w:rsidRPr="00620250">
        <w:rPr>
          <w:rFonts w:ascii="Helvetica" w:eastAsia="Arial" w:hAnsi="Helvetica" w:cs="Arial"/>
          <w:sz w:val="20"/>
        </w:rPr>
        <w:t>plokščialąstelinės</w:t>
      </w:r>
      <w:proofErr w:type="spellEnd"/>
      <w:r w:rsidR="00DF2CED" w:rsidRPr="00620250">
        <w:rPr>
          <w:rFonts w:ascii="Helvetica" w:eastAsia="Arial" w:hAnsi="Helvetica" w:cs="Arial"/>
          <w:sz w:val="20"/>
        </w:rPr>
        <w:t xml:space="preserve"> karcinomos (HNSCC) gydymo būdu</w:t>
      </w:r>
      <w:r w:rsidR="00DE3727" w:rsidRPr="00620250">
        <w:rPr>
          <w:rFonts w:ascii="Helvetica" w:eastAsia="Arial" w:hAnsi="Helvetica" w:cs="Arial"/>
          <w:sz w:val="20"/>
        </w:rPr>
        <w:t>i</w:t>
      </w:r>
      <w:r w:rsidR="00DF2CED" w:rsidRPr="00620250">
        <w:rPr>
          <w:rFonts w:ascii="Helvetica" w:eastAsia="Arial" w:hAnsi="Helvetica" w:cs="Arial"/>
          <w:sz w:val="20"/>
        </w:rPr>
        <w:t xml:space="preserve">, kur minėtas žmogus turi aktyvuojančią H-Ras mutaciją ir kur minėta HNSCC yra pažengusios stadijos, </w:t>
      </w:r>
      <w:proofErr w:type="spellStart"/>
      <w:r w:rsidR="00DF2CED" w:rsidRPr="00620250">
        <w:rPr>
          <w:rFonts w:ascii="Helvetica" w:eastAsia="Arial" w:hAnsi="Helvetica" w:cs="Arial"/>
          <w:sz w:val="20"/>
        </w:rPr>
        <w:t>metastazav</w:t>
      </w:r>
      <w:r w:rsidR="00A64644" w:rsidRPr="00620250">
        <w:rPr>
          <w:rFonts w:ascii="Helvetica" w:eastAsia="Arial" w:hAnsi="Helvetica" w:cs="Arial"/>
          <w:sz w:val="20"/>
        </w:rPr>
        <w:t>usi</w:t>
      </w:r>
      <w:proofErr w:type="spellEnd"/>
      <w:r w:rsidR="00DF2CED" w:rsidRPr="00620250">
        <w:rPr>
          <w:rFonts w:ascii="Helvetica" w:eastAsia="Arial" w:hAnsi="Helvetica" w:cs="Arial"/>
          <w:sz w:val="20"/>
        </w:rPr>
        <w:t xml:space="preserve">, </w:t>
      </w:r>
      <w:proofErr w:type="spellStart"/>
      <w:r w:rsidR="00A64644" w:rsidRPr="00620250">
        <w:rPr>
          <w:rFonts w:ascii="Helvetica" w:eastAsia="Arial" w:hAnsi="Helvetica" w:cs="Arial"/>
          <w:sz w:val="20"/>
        </w:rPr>
        <w:t>recidyvuojanti</w:t>
      </w:r>
      <w:proofErr w:type="spellEnd"/>
      <w:r w:rsidR="00A64644" w:rsidRPr="00620250">
        <w:rPr>
          <w:rFonts w:ascii="Helvetica" w:eastAsia="Arial" w:hAnsi="Helvetica" w:cs="Arial"/>
          <w:sz w:val="20"/>
        </w:rPr>
        <w:t>, pasikartojanti ar atspari</w:t>
      </w:r>
      <w:r w:rsidR="00DF2CED" w:rsidRPr="00620250">
        <w:rPr>
          <w:rFonts w:ascii="Helvetica" w:eastAsia="Arial" w:hAnsi="Helvetica" w:cs="Arial"/>
          <w:sz w:val="20"/>
        </w:rPr>
        <w:t>.</w:t>
      </w:r>
    </w:p>
    <w:p w14:paraId="540FCEAA" w14:textId="06B0B3AA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E931B0" w14:textId="52634DCF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2. FTI, skirtas naudoti pagal 1 punktą, kur minėtas FTI yra </w:t>
      </w:r>
      <w:proofErr w:type="spellStart"/>
      <w:r w:rsidRPr="00620250">
        <w:rPr>
          <w:rFonts w:ascii="Helvetica" w:eastAsia="Arial" w:hAnsi="Helvetica" w:cs="Arial"/>
          <w:sz w:val="20"/>
        </w:rPr>
        <w:t>lonafarnibas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 arba BMS-214662.</w:t>
      </w:r>
    </w:p>
    <w:p w14:paraId="46ACD93D" w14:textId="7016C73C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D5B723B" w14:textId="77777777" w:rsidR="00620250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>3. FTI, skirtas naudoti pagal 1 arba 2 punktą, kur minėta</w:t>
      </w:r>
      <w:r w:rsidR="00A64644" w:rsidRPr="00620250">
        <w:rPr>
          <w:rFonts w:ascii="Helvetica" w:eastAsia="Arial" w:hAnsi="Helvetica" w:cs="Arial"/>
          <w:sz w:val="20"/>
        </w:rPr>
        <w:t xml:space="preserve"> </w:t>
      </w:r>
      <w:r w:rsidRPr="00620250">
        <w:rPr>
          <w:rFonts w:ascii="Helvetica" w:eastAsia="Arial" w:hAnsi="Helvetica" w:cs="Arial"/>
          <w:sz w:val="20"/>
        </w:rPr>
        <w:t>HNSCC yra</w:t>
      </w:r>
      <w:r w:rsidR="007C0B16" w:rsidRPr="00620250">
        <w:rPr>
          <w:rFonts w:ascii="Helvetica" w:eastAsia="Arial" w:hAnsi="Helvetica" w:cs="Arial"/>
          <w:sz w:val="20"/>
        </w:rPr>
        <w:t xml:space="preserve"> neigiamas</w:t>
      </w:r>
      <w:r w:rsidRPr="00620250">
        <w:rPr>
          <w:rFonts w:ascii="Helvetica" w:eastAsia="Arial" w:hAnsi="Helvetica" w:cs="Arial"/>
          <w:sz w:val="20"/>
        </w:rPr>
        <w:t xml:space="preserve"> žmogaus papilomos virus</w:t>
      </w:r>
      <w:r w:rsidR="007C0B16" w:rsidRPr="00620250">
        <w:rPr>
          <w:rFonts w:ascii="Helvetica" w:eastAsia="Arial" w:hAnsi="Helvetica" w:cs="Arial"/>
          <w:sz w:val="20"/>
        </w:rPr>
        <w:t>as</w:t>
      </w:r>
      <w:r w:rsidRPr="00620250">
        <w:rPr>
          <w:rFonts w:ascii="Helvetica" w:eastAsia="Arial" w:hAnsi="Helvetica" w:cs="Arial"/>
          <w:sz w:val="20"/>
        </w:rPr>
        <w:t xml:space="preserve"> (ŽPV).</w:t>
      </w:r>
    </w:p>
    <w:p w14:paraId="03150BDB" w14:textId="1EBA54FF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3DAD762" w14:textId="77CFE6AF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4. FTI, skirtas panaudoti pagal bet kurį iš 1-3 punktų, kur minėta aktyvinanti H-Ras mutacija apima bent vieną aminorūgšties pakaitalą </w:t>
      </w:r>
      <w:proofErr w:type="spellStart"/>
      <w:r w:rsidRPr="00620250">
        <w:rPr>
          <w:rFonts w:ascii="Helvetica" w:eastAsia="Arial" w:hAnsi="Helvetica" w:cs="Arial"/>
          <w:sz w:val="20"/>
        </w:rPr>
        <w:t>kodone</w:t>
      </w:r>
      <w:proofErr w:type="spellEnd"/>
      <w:r w:rsidRPr="00620250">
        <w:rPr>
          <w:rFonts w:ascii="Helvetica" w:eastAsia="Arial" w:hAnsi="Helvetica" w:cs="Arial"/>
          <w:sz w:val="20"/>
        </w:rPr>
        <w:t>, parinktame iš grupės, susidedančios iš G12, G13 ir Q61.</w:t>
      </w:r>
    </w:p>
    <w:p w14:paraId="7DD1C839" w14:textId="73FB2E43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62AAE6A" w14:textId="02E0615F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5. FTI, skirtas naudoti pagal bet kurį iš 1-4 punktų, kur minėtas būdas apima aktyvuojančios H-Ras mutacijos buvimo </w:t>
      </w:r>
      <w:r w:rsidR="00A8260A" w:rsidRPr="00620250">
        <w:rPr>
          <w:rFonts w:ascii="Helvetica" w:eastAsia="Arial" w:hAnsi="Helvetica" w:cs="Arial"/>
          <w:sz w:val="20"/>
        </w:rPr>
        <w:t xml:space="preserve">nustatymą </w:t>
      </w:r>
      <w:r w:rsidR="008704E7" w:rsidRPr="00620250">
        <w:rPr>
          <w:rFonts w:ascii="Helvetica" w:eastAsia="Arial" w:hAnsi="Helvetica" w:cs="Arial"/>
          <w:sz w:val="20"/>
        </w:rPr>
        <w:t>mėginyje</w:t>
      </w:r>
      <w:r w:rsidRPr="00620250">
        <w:rPr>
          <w:rFonts w:ascii="Helvetica" w:eastAsia="Arial" w:hAnsi="Helvetica" w:cs="Arial"/>
          <w:sz w:val="20"/>
        </w:rPr>
        <w:t xml:space="preserve"> iš minėto žmogaus.</w:t>
      </w:r>
    </w:p>
    <w:p w14:paraId="583AFF95" w14:textId="6A6BCB7F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46AB535" w14:textId="2492B128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6. FTI, skirtas naudoti pagal 5 punktą, kur minėtas mėginys yra audinio biopsija arba </w:t>
      </w:r>
      <w:r w:rsidR="00A8260A" w:rsidRPr="00620250">
        <w:rPr>
          <w:rFonts w:ascii="Helvetica" w:eastAsia="Arial" w:hAnsi="Helvetica" w:cs="Arial"/>
          <w:sz w:val="20"/>
        </w:rPr>
        <w:t>auglio</w:t>
      </w:r>
      <w:r w:rsidRPr="00620250">
        <w:rPr>
          <w:rFonts w:ascii="Helvetica" w:eastAsia="Arial" w:hAnsi="Helvetica" w:cs="Arial"/>
          <w:sz w:val="20"/>
        </w:rPr>
        <w:t xml:space="preserve"> biopsija.</w:t>
      </w:r>
    </w:p>
    <w:p w14:paraId="5BD14F10" w14:textId="07D3071C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5C47F09" w14:textId="5417BDF2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7. FTI, skirtas naudoti pagal 5 arba 6 punktą, kur minėta aktyvinanti H-Ras mutacija yra nustatyta metodu, parinktu iš grupės, susidedančios iš sekos nustatymo, polimerazės grandininės reakcijos (PCR), DNR </w:t>
      </w:r>
      <w:proofErr w:type="spellStart"/>
      <w:r w:rsidRPr="00620250">
        <w:rPr>
          <w:rFonts w:ascii="Helvetica" w:eastAsia="Arial" w:hAnsi="Helvetica" w:cs="Arial"/>
          <w:sz w:val="20"/>
        </w:rPr>
        <w:t>mikromatricos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, masės spektrometrijos (MS), vieno nukleotido polimorfizmo </w:t>
      </w:r>
      <w:r w:rsidR="00A8260A" w:rsidRPr="00620250">
        <w:rPr>
          <w:rFonts w:ascii="Helvetica" w:eastAsia="Arial" w:hAnsi="Helvetica" w:cs="Arial"/>
          <w:sz w:val="20"/>
        </w:rPr>
        <w:t>(</w:t>
      </w:r>
      <w:r w:rsidRPr="00620250">
        <w:rPr>
          <w:rFonts w:ascii="Helvetica" w:eastAsia="Arial" w:hAnsi="Helvetica" w:cs="Arial"/>
          <w:sz w:val="20"/>
        </w:rPr>
        <w:t>SNP) tyrim</w:t>
      </w:r>
      <w:r w:rsidR="00A8260A" w:rsidRPr="00620250">
        <w:rPr>
          <w:rFonts w:ascii="Helvetica" w:eastAsia="Arial" w:hAnsi="Helvetica" w:cs="Arial"/>
          <w:sz w:val="20"/>
        </w:rPr>
        <w:t>o</w:t>
      </w:r>
      <w:r w:rsidRPr="00620250">
        <w:rPr>
          <w:rFonts w:ascii="Helvetica" w:eastAsia="Arial" w:hAnsi="Helvetica" w:cs="Arial"/>
          <w:sz w:val="20"/>
        </w:rPr>
        <w:t>, denatūruojan</w:t>
      </w:r>
      <w:r w:rsidR="00A8260A" w:rsidRPr="00620250">
        <w:rPr>
          <w:rFonts w:ascii="Helvetica" w:eastAsia="Arial" w:hAnsi="Helvetica" w:cs="Arial"/>
          <w:sz w:val="20"/>
        </w:rPr>
        <w:t>čios</w:t>
      </w:r>
      <w:r w:rsidRPr="00620250">
        <w:rPr>
          <w:rFonts w:ascii="Helvetica" w:eastAsia="Arial" w:hAnsi="Helvetica" w:cs="Arial"/>
          <w:sz w:val="20"/>
        </w:rPr>
        <w:t xml:space="preserve"> didelio efektyvumo skysčių chromatografij</w:t>
      </w:r>
      <w:r w:rsidR="00A8260A" w:rsidRPr="00620250">
        <w:rPr>
          <w:rFonts w:ascii="Helvetica" w:eastAsia="Arial" w:hAnsi="Helvetica" w:cs="Arial"/>
          <w:sz w:val="20"/>
        </w:rPr>
        <w:t>os</w:t>
      </w:r>
      <w:r w:rsidRPr="00620250">
        <w:rPr>
          <w:rFonts w:ascii="Helvetica" w:eastAsia="Arial" w:hAnsi="Helvetica" w:cs="Arial"/>
          <w:sz w:val="20"/>
        </w:rPr>
        <w:t xml:space="preserve"> (DHPLC) ir </w:t>
      </w:r>
      <w:proofErr w:type="spellStart"/>
      <w:r w:rsidR="00AB7BFA" w:rsidRPr="00620250">
        <w:rPr>
          <w:rFonts w:ascii="Helvetica" w:eastAsia="Arial" w:hAnsi="Helvetica" w:cs="Arial"/>
          <w:sz w:val="20"/>
        </w:rPr>
        <w:t>restrikcinių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 fragment</w:t>
      </w:r>
      <w:r w:rsidR="00AB7BFA" w:rsidRPr="00620250">
        <w:rPr>
          <w:rFonts w:ascii="Helvetica" w:eastAsia="Arial" w:hAnsi="Helvetica" w:cs="Arial"/>
          <w:sz w:val="20"/>
        </w:rPr>
        <w:t>ų</w:t>
      </w:r>
      <w:r w:rsidRPr="00620250">
        <w:rPr>
          <w:rFonts w:ascii="Helvetica" w:eastAsia="Arial" w:hAnsi="Helvetica" w:cs="Arial"/>
          <w:sz w:val="20"/>
        </w:rPr>
        <w:t xml:space="preserve"> ilgio polimorfizmo (RFLP) tyrim</w:t>
      </w:r>
      <w:r w:rsidR="00AB7BFA" w:rsidRPr="00620250">
        <w:rPr>
          <w:rFonts w:ascii="Helvetica" w:eastAsia="Arial" w:hAnsi="Helvetica" w:cs="Arial"/>
          <w:sz w:val="20"/>
        </w:rPr>
        <w:t>o</w:t>
      </w:r>
      <w:r w:rsidRPr="00620250">
        <w:rPr>
          <w:rFonts w:ascii="Helvetica" w:eastAsia="Arial" w:hAnsi="Helvetica" w:cs="Arial"/>
          <w:sz w:val="20"/>
        </w:rPr>
        <w:t>.</w:t>
      </w:r>
    </w:p>
    <w:p w14:paraId="10674103" w14:textId="6435D21A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FCA0A41" w14:textId="34315C88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8. FTI, skirtas naudoti pagal bet kurį iš 1-7 punktų, kur minėtas FTI yra </w:t>
      </w:r>
      <w:r w:rsidR="00AB7BFA" w:rsidRPr="00620250">
        <w:rPr>
          <w:rFonts w:ascii="Helvetica" w:eastAsia="Arial" w:hAnsi="Helvetica" w:cs="Arial"/>
          <w:sz w:val="20"/>
        </w:rPr>
        <w:t>įvedamas doze</w:t>
      </w:r>
      <w:r w:rsidRPr="00620250">
        <w:rPr>
          <w:rFonts w:ascii="Helvetica" w:eastAsia="Arial" w:hAnsi="Helvetica" w:cs="Arial"/>
          <w:sz w:val="20"/>
        </w:rPr>
        <w:t xml:space="preserve"> nuo 1 iki 1000 mg/kg kūno svorio.</w:t>
      </w:r>
    </w:p>
    <w:p w14:paraId="55A1CFA8" w14:textId="3BA83381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ECC9CAD" w14:textId="1F51E64C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9. FTI, skirtas naudoti pagal bet kurį iš 1-8 punktų, kur minėtas FTI yra </w:t>
      </w:r>
      <w:r w:rsidR="00AB7BFA" w:rsidRPr="00620250">
        <w:rPr>
          <w:rFonts w:ascii="Helvetica" w:eastAsia="Arial" w:hAnsi="Helvetica" w:cs="Arial"/>
          <w:sz w:val="20"/>
        </w:rPr>
        <w:t>įvedamas</w:t>
      </w:r>
      <w:r w:rsidRPr="00620250">
        <w:rPr>
          <w:rFonts w:ascii="Helvetica" w:eastAsia="Arial" w:hAnsi="Helvetica" w:cs="Arial"/>
          <w:sz w:val="20"/>
        </w:rPr>
        <w:t xml:space="preserve"> du kartus per dieną.</w:t>
      </w:r>
    </w:p>
    <w:p w14:paraId="61BAC8E4" w14:textId="55B9ACAB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F21EDCB" w14:textId="70D56343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10. FTI, skirtas naudoti pagal 9 punktą, kur minėtas FTI yra </w:t>
      </w:r>
      <w:r w:rsidR="00AB7BFA" w:rsidRPr="00620250">
        <w:rPr>
          <w:rFonts w:ascii="Helvetica" w:eastAsia="Arial" w:hAnsi="Helvetica" w:cs="Arial"/>
          <w:sz w:val="20"/>
        </w:rPr>
        <w:t xml:space="preserve">įvedamas </w:t>
      </w:r>
      <w:r w:rsidRPr="00620250">
        <w:rPr>
          <w:rFonts w:ascii="Helvetica" w:eastAsia="Arial" w:hAnsi="Helvetica" w:cs="Arial"/>
          <w:sz w:val="20"/>
        </w:rPr>
        <w:t xml:space="preserve">300 mg, 600 mg arba 900 mg </w:t>
      </w:r>
      <w:r w:rsidR="004B1B70" w:rsidRPr="00620250">
        <w:rPr>
          <w:rFonts w:ascii="Helvetica" w:eastAsia="Arial" w:hAnsi="Helvetica" w:cs="Arial"/>
          <w:sz w:val="20"/>
        </w:rPr>
        <w:t xml:space="preserve">doze </w:t>
      </w:r>
      <w:r w:rsidRPr="00620250">
        <w:rPr>
          <w:rFonts w:ascii="Helvetica" w:eastAsia="Arial" w:hAnsi="Helvetica" w:cs="Arial"/>
          <w:sz w:val="20"/>
        </w:rPr>
        <w:t>du kartus per dieną.</w:t>
      </w:r>
    </w:p>
    <w:p w14:paraId="07396DFA" w14:textId="413CC911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F45A2AA" w14:textId="708B7556" w:rsidR="00AB7BFA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11. FTI, skirtas naudoti pagal bet kurį iš 1-10 punktų, kur minėtas FTI yra </w:t>
      </w:r>
      <w:r w:rsidR="00AB7BFA" w:rsidRPr="00620250">
        <w:rPr>
          <w:rFonts w:ascii="Helvetica" w:eastAsia="Arial" w:hAnsi="Helvetica" w:cs="Arial"/>
          <w:sz w:val="20"/>
        </w:rPr>
        <w:t>įvedamas</w:t>
      </w:r>
      <w:r w:rsidRPr="00620250">
        <w:rPr>
          <w:rFonts w:ascii="Helvetica" w:eastAsia="Arial" w:hAnsi="Helvetica" w:cs="Arial"/>
          <w:sz w:val="20"/>
        </w:rPr>
        <w:t xml:space="preserve"> nuo vienos iki septynių dienų laikotarp</w:t>
      </w:r>
      <w:r w:rsidR="00AB7BFA" w:rsidRPr="00620250">
        <w:rPr>
          <w:rFonts w:ascii="Helvetica" w:eastAsia="Arial" w:hAnsi="Helvetica" w:cs="Arial"/>
          <w:sz w:val="20"/>
        </w:rPr>
        <w:t>iui</w:t>
      </w:r>
      <w:r w:rsidRPr="00620250">
        <w:rPr>
          <w:rFonts w:ascii="Helvetica" w:eastAsia="Arial" w:hAnsi="Helvetica" w:cs="Arial"/>
          <w:sz w:val="20"/>
        </w:rPr>
        <w:t xml:space="preserve">; ir/arba </w:t>
      </w:r>
    </w:p>
    <w:p w14:paraId="2A215999" w14:textId="5DAF23DC" w:rsidR="00AB7BFA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kur minėtas FTI yra </w:t>
      </w:r>
      <w:r w:rsidR="00AB7BFA" w:rsidRPr="00620250">
        <w:rPr>
          <w:rFonts w:ascii="Helvetica" w:eastAsia="Arial" w:hAnsi="Helvetica" w:cs="Arial"/>
          <w:sz w:val="20"/>
        </w:rPr>
        <w:t xml:space="preserve">įvedamas 1–7 ir 15–21 </w:t>
      </w:r>
      <w:r w:rsidR="00535940" w:rsidRPr="00620250">
        <w:rPr>
          <w:rFonts w:ascii="Helvetica" w:eastAsia="Arial" w:hAnsi="Helvetica" w:cs="Arial"/>
          <w:sz w:val="20"/>
        </w:rPr>
        <w:t xml:space="preserve">dienomis, </w:t>
      </w:r>
      <w:r w:rsidR="00AB7BFA" w:rsidRPr="00620250">
        <w:rPr>
          <w:rFonts w:ascii="Helvetica" w:eastAsia="Arial" w:hAnsi="Helvetica" w:cs="Arial"/>
          <w:sz w:val="20"/>
        </w:rPr>
        <w:t>28 dienų gydymo cikl</w:t>
      </w:r>
      <w:r w:rsidR="00535940" w:rsidRPr="00620250">
        <w:rPr>
          <w:rFonts w:ascii="Helvetica" w:eastAsia="Arial" w:hAnsi="Helvetica" w:cs="Arial"/>
          <w:sz w:val="20"/>
        </w:rPr>
        <w:t>e</w:t>
      </w:r>
      <w:r w:rsidRPr="00620250">
        <w:rPr>
          <w:rFonts w:ascii="Helvetica" w:eastAsia="Arial" w:hAnsi="Helvetica" w:cs="Arial"/>
          <w:sz w:val="20"/>
        </w:rPr>
        <w:t xml:space="preserve">; ir/arba </w:t>
      </w:r>
    </w:p>
    <w:p w14:paraId="53FA6252" w14:textId="5FE93426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kur minėtas FTI yra </w:t>
      </w:r>
      <w:r w:rsidR="00AB7BFA" w:rsidRPr="00620250">
        <w:rPr>
          <w:rFonts w:ascii="Helvetica" w:eastAsia="Arial" w:hAnsi="Helvetica" w:cs="Arial"/>
          <w:sz w:val="20"/>
        </w:rPr>
        <w:t xml:space="preserve">įvedamas </w:t>
      </w:r>
      <w:r w:rsidRPr="00620250">
        <w:rPr>
          <w:rFonts w:ascii="Helvetica" w:eastAsia="Arial" w:hAnsi="Helvetica" w:cs="Arial"/>
          <w:sz w:val="20"/>
        </w:rPr>
        <w:t>mažiausiai 3 ciklus arba mažiausiai 6 ciklus.</w:t>
      </w:r>
    </w:p>
    <w:p w14:paraId="2855F6F8" w14:textId="04F05580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05A86A0" w14:textId="340DC84C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12. FTI, skirtas naudoti pagal bet kurį iš 1-10 punktų, kur minėtas FTI yra </w:t>
      </w:r>
      <w:r w:rsidR="004B1B70" w:rsidRPr="00620250">
        <w:rPr>
          <w:rFonts w:ascii="Helvetica" w:eastAsia="Arial" w:hAnsi="Helvetica" w:cs="Arial"/>
          <w:sz w:val="20"/>
        </w:rPr>
        <w:t xml:space="preserve">įvedamas </w:t>
      </w:r>
      <w:r w:rsidRPr="00620250">
        <w:rPr>
          <w:rFonts w:ascii="Helvetica" w:eastAsia="Arial" w:hAnsi="Helvetica" w:cs="Arial"/>
          <w:sz w:val="20"/>
        </w:rPr>
        <w:t xml:space="preserve">300 mg </w:t>
      </w:r>
      <w:r w:rsidR="004B1B70" w:rsidRPr="00620250">
        <w:rPr>
          <w:rFonts w:ascii="Helvetica" w:eastAsia="Arial" w:hAnsi="Helvetica" w:cs="Arial"/>
          <w:sz w:val="20"/>
        </w:rPr>
        <w:t xml:space="preserve">doze </w:t>
      </w:r>
      <w:r w:rsidRPr="00620250">
        <w:rPr>
          <w:rFonts w:ascii="Helvetica" w:eastAsia="Arial" w:hAnsi="Helvetica" w:cs="Arial"/>
          <w:sz w:val="20"/>
        </w:rPr>
        <w:t>du kartus per dieną 3 iš 4 savaičių kartotiniais 4 savaičių ciklais; arba</w:t>
      </w:r>
    </w:p>
    <w:p w14:paraId="2BEB4A12" w14:textId="5DE34C97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kur minėtas FTI yra </w:t>
      </w:r>
      <w:r w:rsidR="004B1B70" w:rsidRPr="00620250">
        <w:rPr>
          <w:rFonts w:ascii="Helvetica" w:eastAsia="Arial" w:hAnsi="Helvetica" w:cs="Arial"/>
          <w:sz w:val="20"/>
        </w:rPr>
        <w:t xml:space="preserve">įvedamas doze </w:t>
      </w:r>
      <w:r w:rsidRPr="00620250">
        <w:rPr>
          <w:rFonts w:ascii="Helvetica" w:eastAsia="Arial" w:hAnsi="Helvetica" w:cs="Arial"/>
          <w:sz w:val="20"/>
        </w:rPr>
        <w:t>600 mg du kartus per dieną</w:t>
      </w:r>
      <w:r w:rsidR="004B1B70" w:rsidRPr="00620250">
        <w:rPr>
          <w:rFonts w:ascii="Helvetica" w:eastAsia="Arial" w:hAnsi="Helvetica" w:cs="Arial"/>
          <w:sz w:val="20"/>
        </w:rPr>
        <w:t xml:space="preserve"> 1–7 ir 15–21 </w:t>
      </w:r>
      <w:r w:rsidR="00535940" w:rsidRPr="00620250">
        <w:rPr>
          <w:rFonts w:ascii="Helvetica" w:eastAsia="Arial" w:hAnsi="Helvetica" w:cs="Arial"/>
          <w:sz w:val="20"/>
        </w:rPr>
        <w:t xml:space="preserve">dienomis, </w:t>
      </w:r>
      <w:r w:rsidR="004B1B70" w:rsidRPr="00620250">
        <w:rPr>
          <w:rFonts w:ascii="Helvetica" w:eastAsia="Arial" w:hAnsi="Helvetica" w:cs="Arial"/>
          <w:sz w:val="20"/>
        </w:rPr>
        <w:t>28 dienų gydymo cikl</w:t>
      </w:r>
      <w:r w:rsidR="00535940" w:rsidRPr="00620250">
        <w:rPr>
          <w:rFonts w:ascii="Helvetica" w:eastAsia="Arial" w:hAnsi="Helvetica" w:cs="Arial"/>
          <w:sz w:val="20"/>
        </w:rPr>
        <w:t>e</w:t>
      </w:r>
      <w:r w:rsidRPr="00620250">
        <w:rPr>
          <w:rFonts w:ascii="Helvetica" w:eastAsia="Arial" w:hAnsi="Helvetica" w:cs="Arial"/>
          <w:sz w:val="20"/>
        </w:rPr>
        <w:t>; arba</w:t>
      </w:r>
    </w:p>
    <w:p w14:paraId="130CB4F8" w14:textId="39C862DE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kur minėtas FTI yra </w:t>
      </w:r>
      <w:r w:rsidR="004B1B70" w:rsidRPr="00620250">
        <w:rPr>
          <w:rFonts w:ascii="Helvetica" w:eastAsia="Arial" w:hAnsi="Helvetica" w:cs="Arial"/>
          <w:sz w:val="20"/>
        </w:rPr>
        <w:t xml:space="preserve">įvedamas </w:t>
      </w:r>
      <w:r w:rsidRPr="00620250">
        <w:rPr>
          <w:rFonts w:ascii="Helvetica" w:eastAsia="Arial" w:hAnsi="Helvetica" w:cs="Arial"/>
          <w:sz w:val="20"/>
        </w:rPr>
        <w:t xml:space="preserve">900 mg doze du kartus per dieną </w:t>
      </w:r>
      <w:r w:rsidR="004B1B70" w:rsidRPr="00620250">
        <w:rPr>
          <w:rFonts w:ascii="Helvetica" w:eastAsia="Arial" w:hAnsi="Helvetica" w:cs="Arial"/>
          <w:sz w:val="20"/>
        </w:rPr>
        <w:t xml:space="preserve">1–7 ir 15–21 </w:t>
      </w:r>
      <w:r w:rsidR="00535940" w:rsidRPr="00620250">
        <w:rPr>
          <w:rFonts w:ascii="Helvetica" w:eastAsia="Arial" w:hAnsi="Helvetica" w:cs="Arial"/>
          <w:sz w:val="20"/>
        </w:rPr>
        <w:t xml:space="preserve">dienomis, </w:t>
      </w:r>
      <w:r w:rsidR="004B1B70" w:rsidRPr="00620250">
        <w:rPr>
          <w:rFonts w:ascii="Helvetica" w:eastAsia="Arial" w:hAnsi="Helvetica" w:cs="Arial"/>
          <w:sz w:val="20"/>
        </w:rPr>
        <w:t>28 dienų gydymo cikl</w:t>
      </w:r>
      <w:r w:rsidR="00535940" w:rsidRPr="00620250">
        <w:rPr>
          <w:rFonts w:ascii="Helvetica" w:eastAsia="Arial" w:hAnsi="Helvetica" w:cs="Arial"/>
          <w:sz w:val="20"/>
        </w:rPr>
        <w:t>e</w:t>
      </w:r>
      <w:r w:rsidRPr="00620250">
        <w:rPr>
          <w:rFonts w:ascii="Helvetica" w:eastAsia="Arial" w:hAnsi="Helvetica" w:cs="Arial"/>
          <w:sz w:val="20"/>
        </w:rPr>
        <w:t>.</w:t>
      </w:r>
    </w:p>
    <w:p w14:paraId="47AAED68" w14:textId="03627BF6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6591906" w14:textId="77777777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>13. FTI, skirtas naudoti pagal bet kurį iš 1-12 punktų, kur minėtas būdas papildomai apima spindulinės terapijos skyrimą; ir</w:t>
      </w:r>
    </w:p>
    <w:p w14:paraId="743A4349" w14:textId="3B42E2F8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lastRenderedPageBreak/>
        <w:t xml:space="preserve">kur minėtas FTI yra </w:t>
      </w:r>
      <w:r w:rsidR="004B1B70" w:rsidRPr="00620250">
        <w:rPr>
          <w:rFonts w:ascii="Helvetica" w:eastAsia="Arial" w:hAnsi="Helvetica" w:cs="Arial"/>
          <w:sz w:val="20"/>
        </w:rPr>
        <w:t xml:space="preserve">įvedamas </w:t>
      </w:r>
      <w:r w:rsidRPr="00620250">
        <w:rPr>
          <w:rFonts w:ascii="Helvetica" w:eastAsia="Arial" w:hAnsi="Helvetica" w:cs="Arial"/>
          <w:sz w:val="20"/>
        </w:rPr>
        <w:t>prieš švitinimą, jo metu arba po jo.</w:t>
      </w:r>
    </w:p>
    <w:p w14:paraId="3A6DC702" w14:textId="20787863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8AF2D94" w14:textId="62FB9EF6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14. FTI, skirtas panaudoti pagal bet kurį iš 1-13 punktų, kur minėtas būdas papildomai apima </w:t>
      </w:r>
      <w:r w:rsidR="00535940" w:rsidRPr="00620250">
        <w:rPr>
          <w:rFonts w:ascii="Helvetica" w:eastAsia="Arial" w:hAnsi="Helvetica" w:cs="Arial"/>
          <w:sz w:val="20"/>
        </w:rPr>
        <w:t xml:space="preserve">įvedimą </w:t>
      </w:r>
      <w:proofErr w:type="spellStart"/>
      <w:r w:rsidR="00535940" w:rsidRPr="00620250">
        <w:rPr>
          <w:rFonts w:ascii="Helvetica" w:eastAsia="Arial" w:hAnsi="Helvetica" w:cs="Arial"/>
          <w:sz w:val="20"/>
        </w:rPr>
        <w:t>terapiškai</w:t>
      </w:r>
      <w:proofErr w:type="spellEnd"/>
      <w:r w:rsidR="00535940" w:rsidRPr="00620250">
        <w:rPr>
          <w:rFonts w:ascii="Helvetica" w:eastAsia="Arial" w:hAnsi="Helvetica" w:cs="Arial"/>
          <w:sz w:val="20"/>
        </w:rPr>
        <w:t xml:space="preserve"> veiksmingo kiekio </w:t>
      </w:r>
      <w:r w:rsidRPr="00620250">
        <w:rPr>
          <w:rFonts w:ascii="Helvetica" w:eastAsia="Arial" w:hAnsi="Helvetica" w:cs="Arial"/>
          <w:sz w:val="20"/>
        </w:rPr>
        <w:t>antrojo aktyvaus agento arba palaikomosios</w:t>
      </w:r>
      <w:r w:rsidR="00D23287" w:rsidRPr="00620250">
        <w:rPr>
          <w:rFonts w:ascii="Helvetica" w:eastAsia="Arial" w:hAnsi="Helvetica" w:cs="Arial"/>
          <w:sz w:val="20"/>
        </w:rPr>
        <w:t xml:space="preserve"> priežiūros</w:t>
      </w:r>
      <w:r w:rsidRPr="00620250">
        <w:rPr>
          <w:rFonts w:ascii="Helvetica" w:eastAsia="Arial" w:hAnsi="Helvetica" w:cs="Arial"/>
          <w:sz w:val="20"/>
        </w:rPr>
        <w:t xml:space="preserve"> </w:t>
      </w:r>
      <w:r w:rsidR="00D23287" w:rsidRPr="00620250">
        <w:rPr>
          <w:rFonts w:ascii="Helvetica" w:eastAsia="Arial" w:hAnsi="Helvetica" w:cs="Arial"/>
          <w:sz w:val="20"/>
        </w:rPr>
        <w:t>terapiją</w:t>
      </w:r>
      <w:r w:rsidRPr="00620250">
        <w:rPr>
          <w:rFonts w:ascii="Helvetica" w:eastAsia="Arial" w:hAnsi="Helvetica" w:cs="Arial"/>
          <w:sz w:val="20"/>
        </w:rPr>
        <w:t>.</w:t>
      </w:r>
    </w:p>
    <w:p w14:paraId="07E6F216" w14:textId="41E1E173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9561D66" w14:textId="77777777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 xml:space="preserve">15. FTI, skirtas naudoti pagal 14 punktą, kur minėtas antrasis aktyvus agentas yra parinktas iš grupės, susidedančios iš </w:t>
      </w:r>
      <w:proofErr w:type="spellStart"/>
      <w:r w:rsidRPr="00620250">
        <w:rPr>
          <w:rFonts w:ascii="Helvetica" w:eastAsia="Arial" w:hAnsi="Helvetica" w:cs="Arial"/>
          <w:sz w:val="20"/>
        </w:rPr>
        <w:t>anti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-EGFR antikūno, </w:t>
      </w:r>
      <w:proofErr w:type="spellStart"/>
      <w:r w:rsidRPr="00620250">
        <w:rPr>
          <w:rFonts w:ascii="Helvetica" w:eastAsia="Arial" w:hAnsi="Helvetica" w:cs="Arial"/>
          <w:sz w:val="20"/>
        </w:rPr>
        <w:t>cisplatinos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, </w:t>
      </w:r>
      <w:proofErr w:type="spellStart"/>
      <w:r w:rsidRPr="00620250">
        <w:rPr>
          <w:rFonts w:ascii="Helvetica" w:eastAsia="Arial" w:hAnsi="Helvetica" w:cs="Arial"/>
          <w:sz w:val="20"/>
        </w:rPr>
        <w:t>karboplatinos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, </w:t>
      </w:r>
      <w:proofErr w:type="spellStart"/>
      <w:r w:rsidRPr="00620250">
        <w:rPr>
          <w:rFonts w:ascii="Helvetica" w:eastAsia="Arial" w:hAnsi="Helvetica" w:cs="Arial"/>
          <w:sz w:val="20"/>
        </w:rPr>
        <w:t>taksano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, </w:t>
      </w:r>
      <w:proofErr w:type="spellStart"/>
      <w:r w:rsidRPr="00620250">
        <w:rPr>
          <w:rFonts w:ascii="Helvetica" w:eastAsia="Arial" w:hAnsi="Helvetica" w:cs="Arial"/>
          <w:sz w:val="20"/>
        </w:rPr>
        <w:t>gemcitabino</w:t>
      </w:r>
      <w:proofErr w:type="spellEnd"/>
      <w:r w:rsidRPr="00620250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620250">
        <w:rPr>
          <w:rFonts w:ascii="Helvetica" w:eastAsia="Arial" w:hAnsi="Helvetica" w:cs="Arial"/>
          <w:sz w:val="20"/>
        </w:rPr>
        <w:t>metotreksato</w:t>
      </w:r>
      <w:proofErr w:type="spellEnd"/>
      <w:r w:rsidRPr="00620250">
        <w:rPr>
          <w:rFonts w:ascii="Helvetica" w:eastAsia="Arial" w:hAnsi="Helvetica" w:cs="Arial"/>
          <w:sz w:val="20"/>
        </w:rPr>
        <w:t>; arba</w:t>
      </w:r>
    </w:p>
    <w:p w14:paraId="1192E01B" w14:textId="581555C5" w:rsidR="00DF2CED" w:rsidRPr="00620250" w:rsidRDefault="00DF2CED" w:rsidP="006202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620250">
        <w:rPr>
          <w:rFonts w:ascii="Helvetica" w:eastAsia="Arial" w:hAnsi="Helvetica" w:cs="Arial"/>
          <w:sz w:val="20"/>
        </w:rPr>
        <w:t>kur minėtas antrasis aktyvus agentas yra anti-PD</w:t>
      </w:r>
      <w:r w:rsidR="00535940" w:rsidRPr="00620250">
        <w:rPr>
          <w:rFonts w:ascii="Helvetica" w:eastAsia="Arial" w:hAnsi="Helvetica" w:cs="Arial"/>
          <w:sz w:val="20"/>
        </w:rPr>
        <w:t>1</w:t>
      </w:r>
      <w:r w:rsidRPr="00620250">
        <w:rPr>
          <w:rFonts w:ascii="Helvetica" w:eastAsia="Arial" w:hAnsi="Helvetica" w:cs="Arial"/>
          <w:sz w:val="20"/>
        </w:rPr>
        <w:t xml:space="preserve"> antikūnas arba anti-PDL</w:t>
      </w:r>
      <w:r w:rsidR="00535940" w:rsidRPr="00620250">
        <w:rPr>
          <w:rFonts w:ascii="Helvetica" w:eastAsia="Arial" w:hAnsi="Helvetica" w:cs="Arial"/>
          <w:sz w:val="20"/>
        </w:rPr>
        <w:t>1</w:t>
      </w:r>
      <w:r w:rsidRPr="00620250">
        <w:rPr>
          <w:rFonts w:ascii="Helvetica" w:eastAsia="Arial" w:hAnsi="Helvetica" w:cs="Arial"/>
          <w:sz w:val="20"/>
        </w:rPr>
        <w:t xml:space="preserve"> antikūnas.</w:t>
      </w:r>
    </w:p>
    <w:sectPr w:rsidR="00DF2CED" w:rsidRPr="00620250" w:rsidSect="00620250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AD16" w14:textId="77777777" w:rsidR="007158FE" w:rsidRDefault="007158FE">
      <w:pPr>
        <w:spacing w:after="0" w:line="240" w:lineRule="auto"/>
      </w:pPr>
      <w:r>
        <w:separator/>
      </w:r>
    </w:p>
  </w:endnote>
  <w:endnote w:type="continuationSeparator" w:id="0">
    <w:p w14:paraId="2C106289" w14:textId="77777777" w:rsidR="007158FE" w:rsidRDefault="0071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B8BF" w14:textId="77777777" w:rsidR="007158FE" w:rsidRDefault="007158FE">
      <w:pPr>
        <w:spacing w:after="0" w:line="240" w:lineRule="auto"/>
      </w:pPr>
      <w:r>
        <w:separator/>
      </w:r>
    </w:p>
  </w:footnote>
  <w:footnote w:type="continuationSeparator" w:id="0">
    <w:p w14:paraId="5B51E880" w14:textId="77777777" w:rsidR="007158FE" w:rsidRDefault="0071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36C03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26DA0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B1B70"/>
    <w:rsid w:val="004D56DD"/>
    <w:rsid w:val="004F0BF7"/>
    <w:rsid w:val="004F1975"/>
    <w:rsid w:val="005101D7"/>
    <w:rsid w:val="0052053A"/>
    <w:rsid w:val="005209F2"/>
    <w:rsid w:val="00535940"/>
    <w:rsid w:val="00536383"/>
    <w:rsid w:val="00546CF2"/>
    <w:rsid w:val="00551453"/>
    <w:rsid w:val="005C3366"/>
    <w:rsid w:val="005C553A"/>
    <w:rsid w:val="005F28E4"/>
    <w:rsid w:val="00604E63"/>
    <w:rsid w:val="00620250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158FE"/>
    <w:rsid w:val="00722DB0"/>
    <w:rsid w:val="007278EA"/>
    <w:rsid w:val="007564B8"/>
    <w:rsid w:val="00776508"/>
    <w:rsid w:val="007904F5"/>
    <w:rsid w:val="007C0B16"/>
    <w:rsid w:val="00851ACF"/>
    <w:rsid w:val="008704E7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64644"/>
    <w:rsid w:val="00A72B11"/>
    <w:rsid w:val="00A8260A"/>
    <w:rsid w:val="00A854D4"/>
    <w:rsid w:val="00AA5193"/>
    <w:rsid w:val="00AB7BFA"/>
    <w:rsid w:val="00AC126E"/>
    <w:rsid w:val="00AE1DE9"/>
    <w:rsid w:val="00B86D82"/>
    <w:rsid w:val="00B91326"/>
    <w:rsid w:val="00C34607"/>
    <w:rsid w:val="00C779EF"/>
    <w:rsid w:val="00C920DE"/>
    <w:rsid w:val="00CB47B0"/>
    <w:rsid w:val="00CD0760"/>
    <w:rsid w:val="00CF100C"/>
    <w:rsid w:val="00D23287"/>
    <w:rsid w:val="00D83CC1"/>
    <w:rsid w:val="00DC0E4B"/>
    <w:rsid w:val="00DE3727"/>
    <w:rsid w:val="00DF0C04"/>
    <w:rsid w:val="00DF2CED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03"/>
  </w:style>
  <w:style w:type="paragraph" w:styleId="Footer">
    <w:name w:val="footer"/>
    <w:basedOn w:val="Normal"/>
    <w:link w:val="FooterChar"/>
    <w:uiPriority w:val="99"/>
    <w:unhideWhenUsed/>
    <w:rsid w:val="00036C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2632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cp:lastPrinted>2022-01-21T09:36:00Z</cp:lastPrinted>
  <dcterms:created xsi:type="dcterms:W3CDTF">2022-01-24T13:45:00Z</dcterms:created>
  <dcterms:modified xsi:type="dcterms:W3CDTF">2022-01-24T13:45:00Z</dcterms:modified>
</cp:coreProperties>
</file>