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790C" w14:textId="63C210BD" w:rsidR="006D3E83" w:rsidRPr="009F4CA5" w:rsidRDefault="00B70727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1. </w:t>
      </w:r>
      <w:r w:rsidR="006F136F" w:rsidRPr="009F4CA5">
        <w:rPr>
          <w:rFonts w:ascii="Helvetica" w:hAnsi="Helvetica" w:cs="Arial"/>
          <w:sz w:val="20"/>
          <w:lang w:val="lt-LT"/>
        </w:rPr>
        <w:t xml:space="preserve">Širdies </w:t>
      </w:r>
      <w:proofErr w:type="spellStart"/>
      <w:r w:rsidR="006F136F" w:rsidRPr="009F4CA5">
        <w:rPr>
          <w:rFonts w:ascii="Helvetica" w:hAnsi="Helvetica" w:cs="Arial"/>
          <w:sz w:val="20"/>
          <w:lang w:val="lt-LT"/>
        </w:rPr>
        <w:t>sarkomer</w:t>
      </w:r>
      <w:r w:rsidR="008C6FC8" w:rsidRPr="009F4CA5">
        <w:rPr>
          <w:rFonts w:ascii="Helvetica" w:hAnsi="Helvetica" w:cs="Arial"/>
          <w:sz w:val="20"/>
          <w:lang w:val="lt-LT"/>
        </w:rPr>
        <w:t>ų</w:t>
      </w:r>
      <w:proofErr w:type="spellEnd"/>
      <w:r w:rsidR="006F136F" w:rsidRPr="009F4CA5">
        <w:rPr>
          <w:rFonts w:ascii="Helvetica" w:hAnsi="Helvetica" w:cs="Arial"/>
          <w:sz w:val="20"/>
          <w:lang w:val="lt-LT"/>
        </w:rPr>
        <w:t xml:space="preserve"> aktyvatorius (CSA), skirtas </w:t>
      </w:r>
      <w:r w:rsidR="008C6FC8" w:rsidRPr="009F4CA5">
        <w:rPr>
          <w:rFonts w:ascii="Helvetica" w:hAnsi="Helvetica" w:cs="Arial"/>
          <w:sz w:val="20"/>
          <w:lang w:val="lt-LT"/>
        </w:rPr>
        <w:t>pa</w:t>
      </w:r>
      <w:r w:rsidR="006F136F" w:rsidRPr="009F4CA5">
        <w:rPr>
          <w:rFonts w:ascii="Helvetica" w:hAnsi="Helvetica" w:cs="Arial"/>
          <w:sz w:val="20"/>
          <w:lang w:val="lt-LT"/>
        </w:rPr>
        <w:t>naudoti</w:t>
      </w:r>
      <w:r w:rsidR="008C6FC8" w:rsidRPr="009F4CA5">
        <w:rPr>
          <w:rFonts w:ascii="Helvetica" w:hAnsi="Helvetica" w:cs="Arial"/>
          <w:sz w:val="20"/>
          <w:lang w:val="lt-LT"/>
        </w:rPr>
        <w:t xml:space="preserve"> taikant</w:t>
      </w:r>
      <w:r w:rsidR="006F136F" w:rsidRPr="009F4CA5">
        <w:rPr>
          <w:rFonts w:ascii="Helvetica" w:hAnsi="Helvetica" w:cs="Arial"/>
          <w:sz w:val="20"/>
          <w:lang w:val="lt-LT"/>
        </w:rPr>
        <w:t xml:space="preserve"> </w:t>
      </w:r>
      <w:r w:rsidR="008C6FC8" w:rsidRPr="009F4CA5">
        <w:rPr>
          <w:rFonts w:ascii="Helvetica" w:hAnsi="Helvetica" w:cs="Arial"/>
          <w:sz w:val="20"/>
          <w:lang w:val="lt-LT"/>
        </w:rPr>
        <w:t xml:space="preserve">gydymo būdą </w:t>
      </w:r>
      <w:r w:rsidR="006F136F" w:rsidRPr="009F4CA5">
        <w:rPr>
          <w:rFonts w:ascii="Helvetica" w:hAnsi="Helvetica" w:cs="Arial"/>
          <w:sz w:val="20"/>
          <w:lang w:val="lt-LT"/>
        </w:rPr>
        <w:t>širdies nepakankamumu (</w:t>
      </w:r>
      <w:r w:rsidR="008C6FC8" w:rsidRPr="009F4CA5">
        <w:rPr>
          <w:rFonts w:ascii="Helvetica" w:hAnsi="Helvetica" w:cs="Arial"/>
          <w:sz w:val="20"/>
          <w:lang w:val="lt-LT"/>
        </w:rPr>
        <w:t>HF</w:t>
      </w:r>
      <w:r w:rsidR="006F136F" w:rsidRPr="009F4CA5">
        <w:rPr>
          <w:rFonts w:ascii="Helvetica" w:hAnsi="Helvetica" w:cs="Arial"/>
          <w:sz w:val="20"/>
          <w:lang w:val="lt-LT"/>
        </w:rPr>
        <w:t>) serganči</w:t>
      </w:r>
      <w:r w:rsidR="008C6FC8" w:rsidRPr="009F4CA5">
        <w:rPr>
          <w:rFonts w:ascii="Helvetica" w:hAnsi="Helvetica" w:cs="Arial"/>
          <w:sz w:val="20"/>
          <w:lang w:val="lt-LT"/>
        </w:rPr>
        <w:t>am</w:t>
      </w:r>
      <w:r w:rsidR="006F136F" w:rsidRPr="009F4CA5">
        <w:rPr>
          <w:rFonts w:ascii="Helvetica" w:hAnsi="Helvetica" w:cs="Arial"/>
          <w:sz w:val="20"/>
          <w:lang w:val="lt-LT"/>
        </w:rPr>
        <w:t xml:space="preserve"> </w:t>
      </w:r>
      <w:r w:rsidR="008C6FC8" w:rsidRPr="009F4CA5">
        <w:rPr>
          <w:rFonts w:ascii="Helvetica" w:hAnsi="Helvetica" w:cs="Arial"/>
          <w:sz w:val="20"/>
          <w:lang w:val="lt-LT"/>
        </w:rPr>
        <w:t>subjektui</w:t>
      </w:r>
      <w:r w:rsidR="006F136F" w:rsidRPr="009F4CA5">
        <w:rPr>
          <w:rFonts w:ascii="Helvetica" w:hAnsi="Helvetica" w:cs="Arial"/>
          <w:sz w:val="20"/>
          <w:lang w:val="lt-LT"/>
        </w:rPr>
        <w:t xml:space="preserve">, </w:t>
      </w:r>
    </w:p>
    <w:p w14:paraId="031F2961" w14:textId="1435E6CC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CSA yra </w:t>
      </w:r>
      <w:proofErr w:type="spellStart"/>
      <w:r w:rsidR="008C6FC8" w:rsidRPr="009F4CA5">
        <w:rPr>
          <w:rFonts w:ascii="Helvetica" w:hAnsi="Helvetica" w:cs="Arial"/>
          <w:sz w:val="20"/>
          <w:lang w:val="lt-LT"/>
        </w:rPr>
        <w:t>omekamtivas</w:t>
      </w:r>
      <w:proofErr w:type="spellEnd"/>
      <w:r w:rsidR="008C6FC8"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C6FC8" w:rsidRPr="009F4CA5">
        <w:rPr>
          <w:rFonts w:ascii="Helvetica" w:hAnsi="Helvetica" w:cs="Arial"/>
          <w:sz w:val="20"/>
          <w:lang w:val="lt-LT"/>
        </w:rPr>
        <w:t>mekarbilas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 (OM) arba farmaciniu požiūriu priimtina </w:t>
      </w:r>
      <w:r w:rsidR="008C6FC8" w:rsidRPr="009F4CA5">
        <w:rPr>
          <w:rFonts w:ascii="Helvetica" w:hAnsi="Helvetica" w:cs="Arial"/>
          <w:sz w:val="20"/>
          <w:lang w:val="lt-LT"/>
        </w:rPr>
        <w:t xml:space="preserve">jo </w:t>
      </w:r>
      <w:r w:rsidRPr="009F4CA5">
        <w:rPr>
          <w:rFonts w:ascii="Helvetica" w:hAnsi="Helvetica" w:cs="Arial"/>
          <w:sz w:val="20"/>
          <w:lang w:val="lt-LT"/>
        </w:rPr>
        <w:t>druska,</w:t>
      </w:r>
    </w:p>
    <w:p w14:paraId="5D832E86" w14:textId="74F6B755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</w:t>
      </w:r>
      <w:r w:rsidR="008C6FC8" w:rsidRPr="009F4CA5">
        <w:rPr>
          <w:rFonts w:ascii="Helvetica" w:hAnsi="Helvetica" w:cs="Arial"/>
          <w:sz w:val="20"/>
          <w:lang w:val="lt-LT"/>
        </w:rPr>
        <w:t>bū</w:t>
      </w:r>
      <w:r w:rsidRPr="009F4CA5">
        <w:rPr>
          <w:rFonts w:ascii="Helvetica" w:hAnsi="Helvetica" w:cs="Arial"/>
          <w:sz w:val="20"/>
          <w:lang w:val="lt-LT"/>
        </w:rPr>
        <w:t>das apima:</w:t>
      </w:r>
    </w:p>
    <w:p w14:paraId="0C9CC50B" w14:textId="76FCCBB7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(a) </w:t>
      </w:r>
      <w:r w:rsidR="008C6FC8" w:rsidRPr="009F4CA5">
        <w:rPr>
          <w:rFonts w:ascii="Helvetica" w:hAnsi="Helvetica" w:cs="Arial"/>
          <w:sz w:val="20"/>
          <w:lang w:val="lt-LT"/>
        </w:rPr>
        <w:t>įvedimą</w:t>
      </w:r>
      <w:r w:rsidRPr="009F4CA5">
        <w:rPr>
          <w:rFonts w:ascii="Helvetica" w:hAnsi="Helvetica" w:cs="Arial"/>
          <w:sz w:val="20"/>
          <w:lang w:val="lt-LT"/>
        </w:rPr>
        <w:t xml:space="preserve"> subjektui pradinę CSA dozę pradini</w:t>
      </w:r>
      <w:r w:rsidR="008C6FC8" w:rsidRPr="009F4CA5">
        <w:rPr>
          <w:rFonts w:ascii="Helvetica" w:hAnsi="Helvetica" w:cs="Arial"/>
          <w:sz w:val="20"/>
          <w:lang w:val="lt-LT"/>
        </w:rPr>
        <w:t>u</w:t>
      </w:r>
      <w:r w:rsidRPr="009F4CA5">
        <w:rPr>
          <w:rFonts w:ascii="Helvetica" w:hAnsi="Helvetica" w:cs="Arial"/>
          <w:sz w:val="20"/>
          <w:lang w:val="lt-LT"/>
        </w:rPr>
        <w:t xml:space="preserve"> laikotarpiu, kur pradinis laikotarpis yra </w:t>
      </w:r>
      <w:r w:rsidR="008C6FC8" w:rsidRPr="009F4CA5">
        <w:rPr>
          <w:rFonts w:ascii="Helvetica" w:hAnsi="Helvetica" w:cs="Arial"/>
          <w:sz w:val="20"/>
          <w:lang w:val="lt-LT"/>
        </w:rPr>
        <w:t>laikotarpis, trunkantis trump</w:t>
      </w:r>
      <w:r w:rsidRPr="009F4CA5">
        <w:rPr>
          <w:rFonts w:ascii="Helvetica" w:hAnsi="Helvetica" w:cs="Arial"/>
          <w:sz w:val="20"/>
          <w:lang w:val="lt-LT"/>
        </w:rPr>
        <w:t>iausiai 1 savait</w:t>
      </w:r>
      <w:r w:rsidR="008C6FC8" w:rsidRPr="009F4CA5">
        <w:rPr>
          <w:rFonts w:ascii="Helvetica" w:hAnsi="Helvetica" w:cs="Arial"/>
          <w:sz w:val="20"/>
          <w:lang w:val="lt-LT"/>
        </w:rPr>
        <w:t>ę</w:t>
      </w:r>
      <w:r w:rsidRPr="009F4CA5">
        <w:rPr>
          <w:rFonts w:ascii="Helvetica" w:hAnsi="Helvetica" w:cs="Arial"/>
          <w:sz w:val="20"/>
          <w:lang w:val="lt-LT"/>
        </w:rPr>
        <w:t xml:space="preserve"> arba </w:t>
      </w:r>
      <w:r w:rsidR="008C6FC8" w:rsidRPr="009F4CA5">
        <w:rPr>
          <w:rFonts w:ascii="Helvetica" w:hAnsi="Helvetica" w:cs="Arial"/>
          <w:sz w:val="20"/>
          <w:lang w:val="lt-LT"/>
        </w:rPr>
        <w:t xml:space="preserve">trumpiausiai </w:t>
      </w:r>
      <w:r w:rsidRPr="009F4CA5">
        <w:rPr>
          <w:rFonts w:ascii="Helvetica" w:hAnsi="Helvetica" w:cs="Arial"/>
          <w:sz w:val="20"/>
          <w:lang w:val="lt-LT"/>
        </w:rPr>
        <w:t>2 savait</w:t>
      </w:r>
      <w:r w:rsidR="008C6FC8" w:rsidRPr="009F4CA5">
        <w:rPr>
          <w:rFonts w:ascii="Helvetica" w:hAnsi="Helvetica" w:cs="Arial"/>
          <w:sz w:val="20"/>
          <w:lang w:val="lt-LT"/>
        </w:rPr>
        <w:t>e</w:t>
      </w:r>
      <w:r w:rsidRPr="009F4CA5">
        <w:rPr>
          <w:rFonts w:ascii="Helvetica" w:hAnsi="Helvetica" w:cs="Arial"/>
          <w:sz w:val="20"/>
          <w:lang w:val="lt-LT"/>
        </w:rPr>
        <w:t xml:space="preserve">s, </w:t>
      </w:r>
      <w:r w:rsidR="008C6FC8" w:rsidRPr="009F4CA5">
        <w:rPr>
          <w:rFonts w:ascii="Helvetica" w:hAnsi="Helvetica" w:cs="Arial"/>
          <w:sz w:val="20"/>
          <w:lang w:val="lt-LT"/>
        </w:rPr>
        <w:t>ir</w:t>
      </w:r>
      <w:r w:rsidRPr="009F4CA5">
        <w:rPr>
          <w:rFonts w:ascii="Helvetica" w:hAnsi="Helvetica" w:cs="Arial"/>
          <w:sz w:val="20"/>
          <w:lang w:val="lt-LT"/>
        </w:rPr>
        <w:t xml:space="preserve"> pradinė dozė yra 25 mg, </w:t>
      </w:r>
      <w:r w:rsidR="008C6FC8" w:rsidRPr="009F4CA5">
        <w:rPr>
          <w:rFonts w:ascii="Helvetica" w:hAnsi="Helvetica" w:cs="Arial"/>
          <w:sz w:val="20"/>
          <w:lang w:val="lt-LT"/>
        </w:rPr>
        <w:t>įvedama</w:t>
      </w:r>
      <w:r w:rsidRPr="009F4CA5">
        <w:rPr>
          <w:rFonts w:ascii="Helvetica" w:hAnsi="Helvetica" w:cs="Arial"/>
          <w:sz w:val="20"/>
          <w:lang w:val="lt-LT"/>
        </w:rPr>
        <w:t xml:space="preserve"> subjektui du kartus per dieną; ir</w:t>
      </w:r>
    </w:p>
    <w:p w14:paraId="753FF2DC" w14:textId="4A76F432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(b) vėliau </w:t>
      </w:r>
      <w:r w:rsidR="008C6FC8" w:rsidRPr="009F4CA5">
        <w:rPr>
          <w:rFonts w:ascii="Helvetica" w:hAnsi="Helvetica" w:cs="Arial"/>
          <w:sz w:val="20"/>
          <w:lang w:val="lt-LT"/>
        </w:rPr>
        <w:t xml:space="preserve">įvedimą </w:t>
      </w:r>
      <w:r w:rsidRPr="009F4CA5">
        <w:rPr>
          <w:rFonts w:ascii="Helvetica" w:hAnsi="Helvetica" w:cs="Arial"/>
          <w:sz w:val="20"/>
          <w:lang w:val="lt-LT"/>
        </w:rPr>
        <w:t>subjektui du kartus per dieną</w:t>
      </w:r>
    </w:p>
    <w:p w14:paraId="3154E725" w14:textId="3A261078" w:rsidR="006F136F" w:rsidRPr="009F4CA5" w:rsidRDefault="00AE6B76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(</w:t>
      </w:r>
      <w:r w:rsidR="006F136F" w:rsidRPr="009F4CA5">
        <w:rPr>
          <w:rFonts w:ascii="Helvetica" w:hAnsi="Helvetica" w:cs="Arial"/>
          <w:sz w:val="20"/>
          <w:lang w:val="lt-LT"/>
        </w:rPr>
        <w:t xml:space="preserve">i) apie 25 mg CSA,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="006F136F" w:rsidRPr="009F4CA5">
        <w:rPr>
          <w:rFonts w:ascii="Helvetica" w:hAnsi="Helvetica" w:cs="Arial"/>
          <w:sz w:val="20"/>
          <w:lang w:val="lt-LT"/>
        </w:rPr>
        <w:t xml:space="preserve"> CSA koncentracija plazmoje, išmatuota arba nustatyta pradinio laikotarpio metu arba jo pabaigoje, yra didesnė arba </w:t>
      </w:r>
      <w:r w:rsidR="00105075" w:rsidRPr="009F4CA5">
        <w:rPr>
          <w:rFonts w:ascii="Helvetica" w:hAnsi="Helvetica" w:cs="Arial"/>
          <w:sz w:val="20"/>
          <w:lang w:val="lt-LT"/>
        </w:rPr>
        <w:t xml:space="preserve">lygi </w:t>
      </w:r>
      <w:r w:rsidR="006F136F" w:rsidRPr="009F4CA5">
        <w:rPr>
          <w:rFonts w:ascii="Helvetica" w:hAnsi="Helvetica" w:cs="Arial"/>
          <w:sz w:val="20"/>
          <w:lang w:val="lt-LT"/>
        </w:rPr>
        <w:t xml:space="preserve">apie 300 </w:t>
      </w:r>
      <w:proofErr w:type="spellStart"/>
      <w:r w:rsidR="006F136F"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="006F136F" w:rsidRPr="009F4CA5">
        <w:rPr>
          <w:rFonts w:ascii="Helvetica" w:hAnsi="Helvetica" w:cs="Arial"/>
          <w:sz w:val="20"/>
          <w:lang w:val="lt-LT"/>
        </w:rPr>
        <w:t>/ml,</w:t>
      </w:r>
    </w:p>
    <w:p w14:paraId="21344EC9" w14:textId="4804A1AE" w:rsidR="006F136F" w:rsidRPr="009F4CA5" w:rsidRDefault="00AE6B76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(</w:t>
      </w:r>
      <w:r w:rsidR="006F136F" w:rsidRPr="009F4CA5">
        <w:rPr>
          <w:rFonts w:ascii="Helvetica" w:hAnsi="Helvetica" w:cs="Arial"/>
          <w:sz w:val="20"/>
          <w:lang w:val="lt-LT"/>
        </w:rPr>
        <w:t xml:space="preserve">ii) apie 37,5 mg CSA, kai </w:t>
      </w:r>
      <w:r w:rsidR="00105075" w:rsidRPr="009F4CA5">
        <w:rPr>
          <w:rFonts w:ascii="Helvetica" w:hAnsi="Helvetica" w:cs="Arial"/>
          <w:sz w:val="20"/>
          <w:lang w:val="lt-LT"/>
        </w:rPr>
        <w:t xml:space="preserve">subjekto </w:t>
      </w:r>
      <w:r w:rsidR="006F136F" w:rsidRPr="009F4CA5">
        <w:rPr>
          <w:rFonts w:ascii="Helvetica" w:hAnsi="Helvetica" w:cs="Arial"/>
          <w:sz w:val="20"/>
          <w:lang w:val="lt-LT"/>
        </w:rPr>
        <w:t xml:space="preserve">CSA koncentracija plazmoje, išmatuota arba nustatyta pradinio laikotarpio metu arba jo pabaigoje, yra didesnė arba </w:t>
      </w:r>
      <w:r w:rsidR="00105075" w:rsidRPr="009F4CA5">
        <w:rPr>
          <w:rFonts w:ascii="Helvetica" w:hAnsi="Helvetica" w:cs="Arial"/>
          <w:sz w:val="20"/>
          <w:lang w:val="lt-LT"/>
        </w:rPr>
        <w:t xml:space="preserve">lygi </w:t>
      </w:r>
      <w:r w:rsidR="006F136F" w:rsidRPr="009F4CA5">
        <w:rPr>
          <w:rFonts w:ascii="Helvetica" w:hAnsi="Helvetica" w:cs="Arial"/>
          <w:sz w:val="20"/>
          <w:lang w:val="lt-LT"/>
        </w:rPr>
        <w:t xml:space="preserve">apie 200 </w:t>
      </w:r>
      <w:proofErr w:type="spellStart"/>
      <w:r w:rsidR="006F136F"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="006F136F" w:rsidRPr="009F4CA5">
        <w:rPr>
          <w:rFonts w:ascii="Helvetica" w:hAnsi="Helvetica" w:cs="Arial"/>
          <w:sz w:val="20"/>
          <w:lang w:val="lt-LT"/>
        </w:rPr>
        <w:t>/m</w:t>
      </w:r>
      <w:r w:rsidR="00105075" w:rsidRPr="009F4CA5">
        <w:rPr>
          <w:rFonts w:ascii="Helvetica" w:hAnsi="Helvetica" w:cs="Arial"/>
          <w:sz w:val="20"/>
          <w:lang w:val="lt-LT"/>
        </w:rPr>
        <w:t>l</w:t>
      </w:r>
      <w:r w:rsidR="006F136F" w:rsidRPr="009F4CA5">
        <w:rPr>
          <w:rFonts w:ascii="Helvetica" w:hAnsi="Helvetica" w:cs="Arial"/>
          <w:sz w:val="20"/>
          <w:lang w:val="lt-LT"/>
        </w:rPr>
        <w:t xml:space="preserve">, bet mažesnė nei 300 </w:t>
      </w:r>
      <w:proofErr w:type="spellStart"/>
      <w:r w:rsidR="006F136F"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="006F136F" w:rsidRPr="009F4CA5">
        <w:rPr>
          <w:rFonts w:ascii="Helvetica" w:hAnsi="Helvetica" w:cs="Arial"/>
          <w:sz w:val="20"/>
          <w:lang w:val="lt-LT"/>
        </w:rPr>
        <w:t>/m</w:t>
      </w:r>
      <w:r w:rsidR="00105075" w:rsidRPr="009F4CA5">
        <w:rPr>
          <w:rFonts w:ascii="Helvetica" w:hAnsi="Helvetica" w:cs="Arial"/>
          <w:sz w:val="20"/>
          <w:lang w:val="lt-LT"/>
        </w:rPr>
        <w:t>l</w:t>
      </w:r>
      <w:r w:rsidR="006F136F" w:rsidRPr="009F4CA5">
        <w:rPr>
          <w:rFonts w:ascii="Helvetica" w:hAnsi="Helvetica" w:cs="Arial"/>
          <w:sz w:val="20"/>
          <w:lang w:val="lt-LT"/>
        </w:rPr>
        <w:t>, arba</w:t>
      </w:r>
    </w:p>
    <w:p w14:paraId="6EBF2E69" w14:textId="19FBF9F1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(iii) apie 50 mg,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CSA koncentracija plazmoje, išmatuota arba nustatyta pradinio laikotarpio metu arba jo pabaigoje, yra mažesnė nei 200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>/ml.</w:t>
      </w:r>
    </w:p>
    <w:p w14:paraId="2E76E351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C8DDF9" w14:textId="1D343008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2.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pagal 1 punktą, kur pradinis laikotarpis yra </w:t>
      </w:r>
      <w:r w:rsidR="00105075" w:rsidRPr="009F4CA5">
        <w:rPr>
          <w:rFonts w:ascii="Helvetica" w:hAnsi="Helvetica" w:cs="Arial"/>
          <w:sz w:val="20"/>
          <w:lang w:val="lt-LT"/>
        </w:rPr>
        <w:t>lygus trumpiausiai</w:t>
      </w:r>
      <w:r w:rsidRPr="009F4CA5">
        <w:rPr>
          <w:rFonts w:ascii="Helvetica" w:hAnsi="Helvetica" w:cs="Arial"/>
          <w:sz w:val="20"/>
          <w:lang w:val="lt-LT"/>
        </w:rPr>
        <w:t xml:space="preserve"> apie 2 savaites.</w:t>
      </w:r>
    </w:p>
    <w:p w14:paraId="02A248B3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685039" w14:textId="249F3862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3.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pagal 1 punktą, kur pradinis laikotarpis </w:t>
      </w:r>
      <w:r w:rsidR="00105075" w:rsidRPr="009F4CA5">
        <w:rPr>
          <w:rFonts w:ascii="Helvetica" w:hAnsi="Helvetica" w:cs="Arial"/>
          <w:sz w:val="20"/>
          <w:lang w:val="lt-LT"/>
        </w:rPr>
        <w:t>yra lygus</w:t>
      </w:r>
      <w:r w:rsidRPr="009F4CA5">
        <w:rPr>
          <w:rFonts w:ascii="Helvetica" w:hAnsi="Helvetica" w:cs="Arial"/>
          <w:sz w:val="20"/>
          <w:lang w:val="lt-LT"/>
        </w:rPr>
        <w:t xml:space="preserve"> nuo maždaug 1 savaitės iki maždaug 3 savaičių arba apie 2 savaites.</w:t>
      </w:r>
    </w:p>
    <w:p w14:paraId="7B655083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19493F" w14:textId="68CB6042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4.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 kur pradinis laikotarpis </w:t>
      </w:r>
      <w:r w:rsidR="00105075" w:rsidRPr="009F4CA5">
        <w:rPr>
          <w:rFonts w:ascii="Helvetica" w:hAnsi="Helvetica" w:cs="Arial"/>
          <w:sz w:val="20"/>
          <w:lang w:val="lt-LT"/>
        </w:rPr>
        <w:t>yra lygus</w:t>
      </w:r>
      <w:r w:rsidRPr="009F4CA5">
        <w:rPr>
          <w:rFonts w:ascii="Helvetica" w:hAnsi="Helvetica" w:cs="Arial"/>
          <w:sz w:val="20"/>
          <w:lang w:val="lt-LT"/>
        </w:rPr>
        <w:t xml:space="preserve"> apie 2 savaites.</w:t>
      </w:r>
    </w:p>
    <w:p w14:paraId="2010E3CF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4DD619" w14:textId="6E966449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5.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</w:t>
      </w:r>
    </w:p>
    <w:p w14:paraId="061B4385" w14:textId="1765389A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subjektas </w:t>
      </w:r>
      <w:r w:rsidR="00105075" w:rsidRPr="009F4CA5">
        <w:rPr>
          <w:rFonts w:ascii="Helvetica" w:hAnsi="Helvetica" w:cs="Arial"/>
          <w:sz w:val="20"/>
          <w:lang w:val="lt-LT"/>
        </w:rPr>
        <w:t>serga</w:t>
      </w:r>
      <w:r w:rsidRPr="009F4CA5">
        <w:rPr>
          <w:rFonts w:ascii="Helvetica" w:hAnsi="Helvetica" w:cs="Arial"/>
          <w:sz w:val="20"/>
          <w:lang w:val="lt-LT"/>
        </w:rPr>
        <w:t xml:space="preserve"> lėtin</w:t>
      </w:r>
      <w:r w:rsidR="00105075" w:rsidRPr="009F4CA5">
        <w:rPr>
          <w:rFonts w:ascii="Helvetica" w:hAnsi="Helvetica" w:cs="Arial"/>
          <w:sz w:val="20"/>
          <w:lang w:val="lt-LT"/>
        </w:rPr>
        <w:t>iu</w:t>
      </w:r>
      <w:r w:rsidRPr="009F4CA5">
        <w:rPr>
          <w:rFonts w:ascii="Helvetica" w:hAnsi="Helvetica" w:cs="Arial"/>
          <w:sz w:val="20"/>
          <w:lang w:val="lt-LT"/>
        </w:rPr>
        <w:t xml:space="preserve"> širdies nepakankamum</w:t>
      </w:r>
      <w:r w:rsidR="00105075" w:rsidRPr="009F4CA5">
        <w:rPr>
          <w:rFonts w:ascii="Helvetica" w:hAnsi="Helvetica" w:cs="Arial"/>
          <w:sz w:val="20"/>
          <w:lang w:val="lt-LT"/>
        </w:rPr>
        <w:t>u</w:t>
      </w:r>
      <w:r w:rsidRPr="009F4CA5">
        <w:rPr>
          <w:rFonts w:ascii="Helvetica" w:hAnsi="Helvetica" w:cs="Arial"/>
          <w:sz w:val="20"/>
          <w:lang w:val="lt-LT"/>
        </w:rPr>
        <w:t xml:space="preserve">; </w:t>
      </w:r>
      <w:r w:rsidR="00105075" w:rsidRPr="009F4CA5">
        <w:rPr>
          <w:rFonts w:ascii="Helvetica" w:hAnsi="Helvetica" w:cs="Arial"/>
          <w:sz w:val="20"/>
          <w:lang w:val="lt-LT"/>
        </w:rPr>
        <w:t>ir (arba)</w:t>
      </w:r>
    </w:p>
    <w:p w14:paraId="5EF9EEE6" w14:textId="0983C34B" w:rsidR="006F136F" w:rsidRPr="009F4CA5" w:rsidRDefault="00105075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subjektas serga </w:t>
      </w:r>
      <w:r w:rsidR="006F136F" w:rsidRPr="009F4CA5">
        <w:rPr>
          <w:rFonts w:ascii="Helvetica" w:hAnsi="Helvetica" w:cs="Arial"/>
          <w:sz w:val="20"/>
          <w:lang w:val="lt-LT"/>
        </w:rPr>
        <w:t>Niujorko širdies asociacijos II arba III klasės širdies nepakankamum</w:t>
      </w:r>
      <w:r w:rsidRPr="009F4CA5">
        <w:rPr>
          <w:rFonts w:ascii="Helvetica" w:hAnsi="Helvetica" w:cs="Arial"/>
          <w:sz w:val="20"/>
          <w:lang w:val="lt-LT"/>
        </w:rPr>
        <w:t>u</w:t>
      </w:r>
      <w:r w:rsidR="006F136F" w:rsidRPr="009F4CA5">
        <w:rPr>
          <w:rFonts w:ascii="Helvetica" w:hAnsi="Helvetica" w:cs="Arial"/>
          <w:sz w:val="20"/>
          <w:lang w:val="lt-LT"/>
        </w:rPr>
        <w:t>.</w:t>
      </w:r>
    </w:p>
    <w:p w14:paraId="65E5892F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6554CC" w14:textId="738976D2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6.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</w:t>
      </w:r>
    </w:p>
    <w:p w14:paraId="59730CB8" w14:textId="2AEC9C13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subjekto kairiojo skilvelio išstūmimo frakcija yra maždaug 40 % arba mažesnė; </w:t>
      </w:r>
      <w:r w:rsidR="00105075" w:rsidRPr="009F4CA5">
        <w:rPr>
          <w:rFonts w:ascii="Helvetica" w:hAnsi="Helvetica" w:cs="Arial"/>
          <w:sz w:val="20"/>
          <w:lang w:val="lt-LT"/>
        </w:rPr>
        <w:t>ir (arba)</w:t>
      </w:r>
    </w:p>
    <w:p w14:paraId="2DBBDD4A" w14:textId="159314C6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kur subjekto NT-</w:t>
      </w:r>
      <w:proofErr w:type="spellStart"/>
      <w:r w:rsidRPr="009F4CA5">
        <w:rPr>
          <w:rFonts w:ascii="Helvetica" w:hAnsi="Helvetica" w:cs="Arial"/>
          <w:sz w:val="20"/>
          <w:lang w:val="lt-LT"/>
        </w:rPr>
        <w:t>proBNP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 koncentracija plazmoje yra </w:t>
      </w:r>
      <w:r w:rsidR="0010507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mažiausiai apie 200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pg</w:t>
      </w:r>
      <w:proofErr w:type="spellEnd"/>
      <w:r w:rsidRPr="009F4CA5">
        <w:rPr>
          <w:rFonts w:ascii="Helvetica" w:hAnsi="Helvetica" w:cs="Arial"/>
          <w:sz w:val="20"/>
          <w:lang w:val="lt-LT"/>
        </w:rPr>
        <w:t>/ml.</w:t>
      </w:r>
    </w:p>
    <w:p w14:paraId="58610A11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D806C8" w14:textId="7EABFECD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7.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 kur subjekto CSA koncentracija plazmoje yra </w:t>
      </w:r>
      <w:r w:rsidR="00105075" w:rsidRPr="009F4CA5">
        <w:rPr>
          <w:rFonts w:ascii="Helvetica" w:hAnsi="Helvetica" w:cs="Arial"/>
          <w:sz w:val="20"/>
          <w:lang w:val="lt-LT"/>
        </w:rPr>
        <w:t>išmatuota</w:t>
      </w:r>
      <w:r w:rsidRPr="009F4CA5">
        <w:rPr>
          <w:rFonts w:ascii="Helvetica" w:hAnsi="Helvetica" w:cs="Arial"/>
          <w:sz w:val="20"/>
          <w:lang w:val="lt-LT"/>
        </w:rPr>
        <w:t xml:space="preserve"> maždaug po 1 savaitės, maždaug po 2 savaičių arba maždaug po 3 savaičių po pirmo pradinės dozės </w:t>
      </w:r>
      <w:r w:rsidR="00105075" w:rsidRPr="009F4CA5">
        <w:rPr>
          <w:rFonts w:ascii="Helvetica" w:hAnsi="Helvetica" w:cs="Arial"/>
          <w:sz w:val="20"/>
          <w:lang w:val="lt-LT"/>
        </w:rPr>
        <w:t>įvedimo</w:t>
      </w:r>
      <w:r w:rsidRPr="009F4CA5">
        <w:rPr>
          <w:rFonts w:ascii="Helvetica" w:hAnsi="Helvetica" w:cs="Arial"/>
          <w:sz w:val="20"/>
          <w:lang w:val="lt-LT"/>
        </w:rPr>
        <w:t>.</w:t>
      </w:r>
    </w:p>
    <w:p w14:paraId="74654280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B3A5DB" w14:textId="39FE5091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8.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 kur subjekto CSA koncentracija plazmoje yra </w:t>
      </w:r>
      <w:r w:rsidR="00105075" w:rsidRPr="009F4CA5">
        <w:rPr>
          <w:rFonts w:ascii="Helvetica" w:hAnsi="Helvetica" w:cs="Arial"/>
          <w:sz w:val="20"/>
          <w:lang w:val="lt-LT"/>
        </w:rPr>
        <w:t xml:space="preserve">išmatuota </w:t>
      </w:r>
      <w:r w:rsidRPr="009F4CA5">
        <w:rPr>
          <w:rFonts w:ascii="Helvetica" w:hAnsi="Helvetica" w:cs="Arial"/>
          <w:sz w:val="20"/>
          <w:lang w:val="lt-LT"/>
        </w:rPr>
        <w:t>maždaug po 2 savaičių po pirmo pradinės dozės įvedimo.</w:t>
      </w:r>
    </w:p>
    <w:p w14:paraId="2CA1B273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D7C42C" w14:textId="09D3D7E6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9.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 kur</w:t>
      </w:r>
    </w:p>
    <w:p w14:paraId="438DC332" w14:textId="7C7967CF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a) pradinė OM dozė </w:t>
      </w:r>
      <w:r w:rsidR="00105075" w:rsidRPr="009F4CA5">
        <w:rPr>
          <w:rFonts w:ascii="Helvetica" w:hAnsi="Helvetica" w:cs="Arial"/>
          <w:sz w:val="20"/>
          <w:lang w:val="lt-LT"/>
        </w:rPr>
        <w:t>subjektui yra įvedama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9F4CA5">
        <w:rPr>
          <w:rFonts w:ascii="Helvetica" w:hAnsi="Helvetica" w:cs="Arial"/>
          <w:sz w:val="20"/>
          <w:lang w:val="lt-LT"/>
        </w:rPr>
        <w:t>per</w:t>
      </w:r>
      <w:r w:rsidR="00105075" w:rsidRPr="009F4CA5">
        <w:rPr>
          <w:rFonts w:ascii="Helvetica" w:hAnsi="Helvetica" w:cs="Arial"/>
          <w:sz w:val="20"/>
          <w:lang w:val="lt-LT"/>
        </w:rPr>
        <w:t>oraliniu</w:t>
      </w:r>
      <w:proofErr w:type="spellEnd"/>
      <w:r w:rsidR="00105075" w:rsidRPr="009F4CA5">
        <w:rPr>
          <w:rFonts w:ascii="Helvetica" w:hAnsi="Helvetica" w:cs="Arial"/>
          <w:sz w:val="20"/>
          <w:lang w:val="lt-LT"/>
        </w:rPr>
        <w:t xml:space="preserve"> būdu</w:t>
      </w:r>
      <w:r w:rsidRPr="009F4CA5">
        <w:rPr>
          <w:rFonts w:ascii="Helvetica" w:hAnsi="Helvetica" w:cs="Arial"/>
          <w:sz w:val="20"/>
          <w:lang w:val="lt-LT"/>
        </w:rPr>
        <w:t xml:space="preserve">; </w:t>
      </w:r>
      <w:r w:rsidR="00105075" w:rsidRPr="009F4CA5">
        <w:rPr>
          <w:rFonts w:ascii="Helvetica" w:hAnsi="Helvetica" w:cs="Arial"/>
          <w:sz w:val="20"/>
          <w:lang w:val="lt-LT"/>
        </w:rPr>
        <w:t>ir (arba)</w:t>
      </w:r>
    </w:p>
    <w:p w14:paraId="30862EB4" w14:textId="3E21970F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(b) dozė, kuri </w:t>
      </w:r>
      <w:r w:rsidR="00105075" w:rsidRPr="009F4CA5">
        <w:rPr>
          <w:rFonts w:ascii="Helvetica" w:hAnsi="Helvetica" w:cs="Arial"/>
          <w:sz w:val="20"/>
          <w:lang w:val="lt-LT"/>
        </w:rPr>
        <w:t xml:space="preserve">subjektui įvedama </w:t>
      </w:r>
      <w:r w:rsidRPr="009F4CA5">
        <w:rPr>
          <w:rFonts w:ascii="Helvetica" w:hAnsi="Helvetica" w:cs="Arial"/>
          <w:sz w:val="20"/>
          <w:lang w:val="lt-LT"/>
        </w:rPr>
        <w:t xml:space="preserve">vėliau, </w:t>
      </w:r>
      <w:r w:rsidR="00105075" w:rsidRPr="009F4CA5">
        <w:rPr>
          <w:rFonts w:ascii="Helvetica" w:hAnsi="Helvetica" w:cs="Arial"/>
          <w:sz w:val="20"/>
          <w:lang w:val="lt-LT"/>
        </w:rPr>
        <w:t xml:space="preserve">yra įvedama </w:t>
      </w:r>
      <w:proofErr w:type="spellStart"/>
      <w:r w:rsidR="00105075" w:rsidRPr="009F4CA5">
        <w:rPr>
          <w:rFonts w:ascii="Helvetica" w:hAnsi="Helvetica" w:cs="Arial"/>
          <w:sz w:val="20"/>
          <w:lang w:val="lt-LT"/>
        </w:rPr>
        <w:t>peroraliniu</w:t>
      </w:r>
      <w:proofErr w:type="spellEnd"/>
      <w:r w:rsidR="00105075" w:rsidRPr="009F4CA5">
        <w:rPr>
          <w:rFonts w:ascii="Helvetica" w:hAnsi="Helvetica" w:cs="Arial"/>
          <w:sz w:val="20"/>
          <w:lang w:val="lt-LT"/>
        </w:rPr>
        <w:t xml:space="preserve"> būdu</w:t>
      </w:r>
      <w:r w:rsidRPr="009F4CA5">
        <w:rPr>
          <w:rFonts w:ascii="Helvetica" w:hAnsi="Helvetica" w:cs="Arial"/>
          <w:sz w:val="20"/>
          <w:lang w:val="lt-LT"/>
        </w:rPr>
        <w:t>.</w:t>
      </w:r>
    </w:p>
    <w:p w14:paraId="54D483AA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26ADCF" w14:textId="6F91A107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lastRenderedPageBreak/>
        <w:t>10.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 kur OM yra </w:t>
      </w:r>
      <w:proofErr w:type="spellStart"/>
      <w:r w:rsidR="00105075" w:rsidRPr="009F4CA5">
        <w:rPr>
          <w:rFonts w:ascii="Helvetica" w:hAnsi="Helvetica" w:cs="Arial"/>
          <w:sz w:val="20"/>
          <w:lang w:val="lt-LT"/>
        </w:rPr>
        <w:t>omekamtivo</w:t>
      </w:r>
      <w:proofErr w:type="spellEnd"/>
      <w:r w:rsidR="00105075"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05075" w:rsidRPr="009F4CA5">
        <w:rPr>
          <w:rFonts w:ascii="Helvetica" w:hAnsi="Helvetica" w:cs="Arial"/>
          <w:sz w:val="20"/>
          <w:lang w:val="lt-LT"/>
        </w:rPr>
        <w:t>mekarbilo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9F4CA5">
        <w:rPr>
          <w:rFonts w:ascii="Helvetica" w:hAnsi="Helvetica" w:cs="Arial"/>
          <w:sz w:val="20"/>
          <w:lang w:val="lt-LT"/>
        </w:rPr>
        <w:t>dihidrochlorido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 hidratas.</w:t>
      </w:r>
    </w:p>
    <w:p w14:paraId="40B6B300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506EBA" w14:textId="273A30B7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11.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pagal bet kurį vieną iš</w:t>
      </w:r>
      <w:r w:rsidRPr="009F4CA5">
        <w:rPr>
          <w:rFonts w:ascii="Helvetica" w:hAnsi="Helvetica" w:cs="Arial"/>
          <w:sz w:val="20"/>
          <w:lang w:val="lt-LT"/>
        </w:rPr>
        <w:t xml:space="preserve"> ankstesnių punktų, kur būdas apima CSA koncentracijos plazmoje nustatymą po pradinio laiko</w:t>
      </w:r>
      <w:r w:rsidR="00105075" w:rsidRPr="009F4CA5">
        <w:rPr>
          <w:rFonts w:ascii="Helvetica" w:hAnsi="Helvetica" w:cs="Arial"/>
          <w:sz w:val="20"/>
          <w:lang w:val="lt-LT"/>
        </w:rPr>
        <w:t>tarpio</w:t>
      </w:r>
      <w:r w:rsidRPr="009F4CA5">
        <w:rPr>
          <w:rFonts w:ascii="Helvetica" w:hAnsi="Helvetica" w:cs="Arial"/>
          <w:sz w:val="20"/>
          <w:lang w:val="lt-LT"/>
        </w:rPr>
        <w:t>.</w:t>
      </w:r>
    </w:p>
    <w:p w14:paraId="3A28DC5B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E7AE42" w14:textId="2A836BBD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12.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CSA,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pagal 11 punktą, kur būdas apima pirmosios CSA koncentracijos plazmoje nustatymą po pradinio laiko</w:t>
      </w:r>
      <w:r w:rsidR="00105075" w:rsidRPr="009F4CA5">
        <w:rPr>
          <w:rFonts w:ascii="Helvetica" w:hAnsi="Helvetica" w:cs="Arial"/>
          <w:sz w:val="20"/>
          <w:lang w:val="lt-LT"/>
        </w:rPr>
        <w:t>tarpio,</w:t>
      </w:r>
      <w:r w:rsidRPr="009F4CA5">
        <w:rPr>
          <w:rFonts w:ascii="Helvetica" w:hAnsi="Helvetica" w:cs="Arial"/>
          <w:sz w:val="20"/>
          <w:lang w:val="lt-LT"/>
        </w:rPr>
        <w:t xml:space="preserve"> ir antrosios CSA koncentracijos plazmoje nustatymą po to, kai subjektas </w:t>
      </w:r>
      <w:r w:rsidR="00105075" w:rsidRPr="009F4CA5">
        <w:rPr>
          <w:rFonts w:ascii="Helvetica" w:hAnsi="Helvetica" w:cs="Arial"/>
          <w:sz w:val="20"/>
          <w:lang w:val="lt-LT"/>
        </w:rPr>
        <w:t>pavartojo</w:t>
      </w:r>
      <w:r w:rsidRPr="009F4CA5">
        <w:rPr>
          <w:rFonts w:ascii="Helvetica" w:hAnsi="Helvetica" w:cs="Arial"/>
          <w:sz w:val="20"/>
          <w:lang w:val="lt-LT"/>
        </w:rPr>
        <w:t xml:space="preserve"> bent vieną paskesnę CSA dozę.</w:t>
      </w:r>
    </w:p>
    <w:p w14:paraId="1B8C05E8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E9D295" w14:textId="2D66C36E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13.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05075" w:rsidRPr="009F4CA5">
        <w:rPr>
          <w:rFonts w:ascii="Helvetica" w:hAnsi="Helvetica" w:cs="Arial"/>
          <w:sz w:val="20"/>
          <w:lang w:val="lt-LT"/>
        </w:rPr>
        <w:t>Omekamtivas</w:t>
      </w:r>
      <w:proofErr w:type="spellEnd"/>
      <w:r w:rsidR="00105075"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05075" w:rsidRPr="009F4CA5">
        <w:rPr>
          <w:rFonts w:ascii="Helvetica" w:hAnsi="Helvetica" w:cs="Arial"/>
          <w:sz w:val="20"/>
          <w:lang w:val="lt-LT"/>
        </w:rPr>
        <w:t>mekarbilas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 (OM) arba farmaciniu požiūriu priimtina </w:t>
      </w:r>
      <w:r w:rsidR="008C6FC8" w:rsidRPr="009F4CA5">
        <w:rPr>
          <w:rFonts w:ascii="Helvetica" w:hAnsi="Helvetica" w:cs="Arial"/>
          <w:sz w:val="20"/>
          <w:lang w:val="lt-LT"/>
        </w:rPr>
        <w:t xml:space="preserve">jo </w:t>
      </w:r>
      <w:r w:rsidRPr="009F4CA5">
        <w:rPr>
          <w:rFonts w:ascii="Helvetica" w:hAnsi="Helvetica" w:cs="Arial"/>
          <w:sz w:val="20"/>
          <w:lang w:val="lt-LT"/>
        </w:rPr>
        <w:t>druska, skirt</w:t>
      </w:r>
      <w:r w:rsidR="00105075" w:rsidRPr="009F4CA5">
        <w:rPr>
          <w:rFonts w:ascii="Helvetica" w:hAnsi="Helvetica" w:cs="Arial"/>
          <w:sz w:val="20"/>
          <w:lang w:val="lt-LT"/>
        </w:rPr>
        <w:t>i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r w:rsidR="00105075" w:rsidRPr="009F4CA5">
        <w:rPr>
          <w:rFonts w:ascii="Helvetica" w:hAnsi="Helvetica" w:cs="Arial"/>
          <w:sz w:val="20"/>
          <w:lang w:val="lt-LT"/>
        </w:rPr>
        <w:t>pa</w:t>
      </w:r>
      <w:r w:rsidRPr="009F4CA5">
        <w:rPr>
          <w:rFonts w:ascii="Helvetica" w:hAnsi="Helvetica" w:cs="Arial"/>
          <w:sz w:val="20"/>
          <w:lang w:val="lt-LT"/>
        </w:rPr>
        <w:t xml:space="preserve">naudoti </w:t>
      </w:r>
      <w:r w:rsidR="008064C9" w:rsidRPr="009F4CA5">
        <w:rPr>
          <w:rFonts w:ascii="Helvetica" w:hAnsi="Helvetica" w:cs="Arial"/>
          <w:sz w:val="20"/>
          <w:lang w:val="lt-LT"/>
        </w:rPr>
        <w:t>taikant gydymo būdą širdies nepakankamumu (HF) sergančiam subjektui</w:t>
      </w:r>
      <w:r w:rsidRPr="009F4CA5">
        <w:rPr>
          <w:rFonts w:ascii="Helvetica" w:hAnsi="Helvetica" w:cs="Arial"/>
          <w:sz w:val="20"/>
          <w:lang w:val="lt-LT"/>
        </w:rPr>
        <w:t>, apimant</w:t>
      </w:r>
      <w:r w:rsidR="008064C9" w:rsidRPr="009F4CA5">
        <w:rPr>
          <w:rFonts w:ascii="Helvetica" w:hAnsi="Helvetica" w:cs="Arial"/>
          <w:sz w:val="20"/>
          <w:lang w:val="lt-LT"/>
        </w:rPr>
        <w:t>į</w:t>
      </w:r>
    </w:p>
    <w:p w14:paraId="6C408B72" w14:textId="425CFF3E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(a) </w:t>
      </w:r>
      <w:r w:rsidR="008064C9" w:rsidRPr="009F4CA5">
        <w:rPr>
          <w:rFonts w:ascii="Helvetica" w:hAnsi="Helvetica" w:cs="Arial"/>
          <w:sz w:val="20"/>
          <w:lang w:val="lt-LT"/>
        </w:rPr>
        <w:t>įvedimą subjektui</w:t>
      </w:r>
      <w:r w:rsidRPr="009F4CA5">
        <w:rPr>
          <w:rFonts w:ascii="Helvetica" w:hAnsi="Helvetica" w:cs="Arial"/>
          <w:sz w:val="20"/>
          <w:lang w:val="lt-LT"/>
        </w:rPr>
        <w:t xml:space="preserve"> kelet</w:t>
      </w:r>
      <w:r w:rsidR="008064C9" w:rsidRPr="009F4CA5">
        <w:rPr>
          <w:rFonts w:ascii="Helvetica" w:hAnsi="Helvetica" w:cs="Arial"/>
          <w:sz w:val="20"/>
          <w:lang w:val="lt-LT"/>
        </w:rPr>
        <w:t>o</w:t>
      </w:r>
      <w:r w:rsidRPr="009F4CA5">
        <w:rPr>
          <w:rFonts w:ascii="Helvetica" w:hAnsi="Helvetica" w:cs="Arial"/>
          <w:sz w:val="20"/>
          <w:lang w:val="lt-LT"/>
        </w:rPr>
        <w:t xml:space="preserve"> pradinių </w:t>
      </w:r>
      <w:proofErr w:type="spellStart"/>
      <w:r w:rsidR="008064C9" w:rsidRPr="009F4CA5">
        <w:rPr>
          <w:rFonts w:ascii="Helvetica" w:hAnsi="Helvetica" w:cs="Arial"/>
          <w:sz w:val="20"/>
          <w:lang w:val="lt-LT"/>
        </w:rPr>
        <w:t>omekamtivo</w:t>
      </w:r>
      <w:proofErr w:type="spellEnd"/>
      <w:r w:rsidR="008064C9"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064C9" w:rsidRPr="009F4CA5">
        <w:rPr>
          <w:rFonts w:ascii="Helvetica" w:hAnsi="Helvetica" w:cs="Arial"/>
          <w:sz w:val="20"/>
          <w:lang w:val="lt-LT"/>
        </w:rPr>
        <w:t>mekarbilo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 (OM) dozių</w:t>
      </w:r>
      <w:r w:rsidR="008064C9" w:rsidRPr="009F4CA5">
        <w:rPr>
          <w:rFonts w:ascii="Helvetica" w:hAnsi="Helvetica" w:cs="Arial"/>
          <w:sz w:val="20"/>
          <w:lang w:val="lt-LT"/>
        </w:rPr>
        <w:t xml:space="preserve"> seriją</w:t>
      </w:r>
      <w:r w:rsidRPr="009F4CA5">
        <w:rPr>
          <w:rFonts w:ascii="Helvetica" w:hAnsi="Helvetica" w:cs="Arial"/>
          <w:sz w:val="20"/>
          <w:lang w:val="lt-LT"/>
        </w:rPr>
        <w:t xml:space="preserve"> du kartus per </w:t>
      </w:r>
      <w:r w:rsidR="008064C9" w:rsidRPr="009F4CA5">
        <w:rPr>
          <w:rFonts w:ascii="Helvetica" w:hAnsi="Helvetica" w:cs="Arial"/>
          <w:sz w:val="20"/>
          <w:lang w:val="lt-LT"/>
        </w:rPr>
        <w:t>dieną</w:t>
      </w:r>
      <w:r w:rsidRPr="009F4CA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9F4CA5">
        <w:rPr>
          <w:rFonts w:ascii="Helvetica" w:hAnsi="Helvetica" w:cs="Arial"/>
          <w:sz w:val="20"/>
          <w:lang w:val="lt-LT"/>
        </w:rPr>
        <w:t>per</w:t>
      </w:r>
      <w:r w:rsidR="008064C9" w:rsidRPr="009F4CA5">
        <w:rPr>
          <w:rFonts w:ascii="Helvetica" w:hAnsi="Helvetica" w:cs="Arial"/>
          <w:sz w:val="20"/>
          <w:lang w:val="lt-LT"/>
        </w:rPr>
        <w:t>oraliniu</w:t>
      </w:r>
      <w:proofErr w:type="spellEnd"/>
      <w:r w:rsidR="008064C9" w:rsidRPr="009F4CA5">
        <w:rPr>
          <w:rFonts w:ascii="Helvetica" w:hAnsi="Helvetica" w:cs="Arial"/>
          <w:sz w:val="20"/>
          <w:lang w:val="lt-LT"/>
        </w:rPr>
        <w:t xml:space="preserve"> būdu</w:t>
      </w:r>
      <w:r w:rsidRPr="009F4CA5">
        <w:rPr>
          <w:rFonts w:ascii="Helvetica" w:hAnsi="Helvetica" w:cs="Arial"/>
          <w:sz w:val="20"/>
          <w:lang w:val="lt-LT"/>
        </w:rPr>
        <w:t xml:space="preserve"> pradinį maždaug 4 savaičių laikotarpį, kurių kiekviena pradinė dozė yra </w:t>
      </w:r>
      <w:r w:rsidR="008064C9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>apie 25 mg, ir</w:t>
      </w:r>
    </w:p>
    <w:p w14:paraId="03329538" w14:textId="2A8A232F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b) </w:t>
      </w:r>
      <w:r w:rsidR="008064C9" w:rsidRPr="009F4CA5">
        <w:rPr>
          <w:rFonts w:ascii="Helvetica" w:hAnsi="Helvetica" w:cs="Arial"/>
          <w:sz w:val="20"/>
          <w:lang w:val="lt-LT"/>
        </w:rPr>
        <w:t>įvedimą subjektui</w:t>
      </w:r>
      <w:r w:rsidRPr="009F4CA5">
        <w:rPr>
          <w:rFonts w:ascii="Helvetica" w:hAnsi="Helvetica" w:cs="Arial"/>
          <w:sz w:val="20"/>
          <w:lang w:val="lt-LT"/>
        </w:rPr>
        <w:t xml:space="preserve"> kitą OM dozių seriją </w:t>
      </w:r>
      <w:r w:rsidR="008064C9" w:rsidRPr="009F4CA5">
        <w:rPr>
          <w:rFonts w:ascii="Helvetica" w:hAnsi="Helvetica" w:cs="Arial"/>
          <w:sz w:val="20"/>
          <w:lang w:val="lt-LT"/>
        </w:rPr>
        <w:t xml:space="preserve">du kartus per dieną </w:t>
      </w:r>
      <w:proofErr w:type="spellStart"/>
      <w:r w:rsidR="008064C9" w:rsidRPr="009F4CA5">
        <w:rPr>
          <w:rFonts w:ascii="Helvetica" w:hAnsi="Helvetica" w:cs="Arial"/>
          <w:sz w:val="20"/>
          <w:lang w:val="lt-LT"/>
        </w:rPr>
        <w:t>peroraliniu</w:t>
      </w:r>
      <w:proofErr w:type="spellEnd"/>
      <w:r w:rsidR="008064C9" w:rsidRPr="009F4CA5">
        <w:rPr>
          <w:rFonts w:ascii="Helvetica" w:hAnsi="Helvetica" w:cs="Arial"/>
          <w:sz w:val="20"/>
          <w:lang w:val="lt-LT"/>
        </w:rPr>
        <w:t xml:space="preserve"> būdu</w:t>
      </w:r>
      <w:r w:rsidRPr="009F4CA5">
        <w:rPr>
          <w:rFonts w:ascii="Helvetica" w:hAnsi="Helvetica" w:cs="Arial"/>
          <w:sz w:val="20"/>
          <w:lang w:val="lt-LT"/>
        </w:rPr>
        <w:t xml:space="preserve"> antrą laikotarpį, einantį po pradinio laikotarpio,</w:t>
      </w:r>
    </w:p>
    <w:p w14:paraId="4693421C" w14:textId="77777777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kur kiekviena paskesnė dozė yra</w:t>
      </w:r>
    </w:p>
    <w:p w14:paraId="1A5C11EE" w14:textId="70B21B39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i) apie 25 mg,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maždaug po 2 savaičių nuo pradinio laikotarpio pradžios, yra didesnė arba </w:t>
      </w:r>
      <w:r w:rsidR="008064C9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300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>/ml,</w:t>
      </w:r>
    </w:p>
    <w:p w14:paraId="59289533" w14:textId="6774687C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(ii) apie 37,5 mg,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maždaug po 2 savaičių nuo pradinio laikotarpio pradžios, yra didesnė arba </w:t>
      </w:r>
      <w:r w:rsidR="008064C9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200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/ml, bet mažesnė nei 300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>/ml, arba</w:t>
      </w:r>
    </w:p>
    <w:p w14:paraId="04F0B925" w14:textId="19EAB377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(iii) apie 50 mg,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maždaug po 2 savaičių nuo pradinio laikotarpio pradžios, yra mažesnė nei 200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>/ml, pasirinktinai:</w:t>
      </w:r>
    </w:p>
    <w:p w14:paraId="21FB7E56" w14:textId="2B383F5B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</w:t>
      </w:r>
      <w:r w:rsidR="008064C9" w:rsidRPr="009F4CA5">
        <w:rPr>
          <w:rFonts w:ascii="Helvetica" w:hAnsi="Helvetica" w:cs="Arial"/>
          <w:sz w:val="20"/>
          <w:lang w:val="lt-LT"/>
        </w:rPr>
        <w:t>bū</w:t>
      </w:r>
      <w:r w:rsidRPr="009F4CA5">
        <w:rPr>
          <w:rFonts w:ascii="Helvetica" w:hAnsi="Helvetica" w:cs="Arial"/>
          <w:sz w:val="20"/>
          <w:lang w:val="lt-LT"/>
        </w:rPr>
        <w:t>das papildomai apima subjekto koncentracijos plazmoje matavimą maždaug po 2 savaičių nuo pradinio laiko</w:t>
      </w:r>
      <w:r w:rsidR="008064C9" w:rsidRPr="009F4CA5">
        <w:rPr>
          <w:rFonts w:ascii="Helvetica" w:hAnsi="Helvetica" w:cs="Arial"/>
          <w:sz w:val="20"/>
          <w:lang w:val="lt-LT"/>
        </w:rPr>
        <w:t>tarpio</w:t>
      </w:r>
      <w:r w:rsidRPr="009F4CA5">
        <w:rPr>
          <w:rFonts w:ascii="Helvetica" w:hAnsi="Helvetica" w:cs="Arial"/>
          <w:sz w:val="20"/>
          <w:lang w:val="lt-LT"/>
        </w:rPr>
        <w:t xml:space="preserve"> pradžios; </w:t>
      </w:r>
      <w:r w:rsidR="00105075" w:rsidRPr="009F4CA5">
        <w:rPr>
          <w:rFonts w:ascii="Helvetica" w:hAnsi="Helvetica" w:cs="Arial"/>
          <w:sz w:val="20"/>
          <w:lang w:val="lt-LT"/>
        </w:rPr>
        <w:t>ir (arba)</w:t>
      </w:r>
    </w:p>
    <w:p w14:paraId="482A5E11" w14:textId="77777777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kur antrasis laikotarpis yra maždaug 4 savaitės po pradinio laikotarpio.</w:t>
      </w:r>
    </w:p>
    <w:p w14:paraId="3991A281" w14:textId="77777777" w:rsidR="006D3E83" w:rsidRPr="009F4CA5" w:rsidRDefault="006D3E83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766ED9" w14:textId="7B336F02" w:rsidR="006F136F" w:rsidRPr="009F4CA5" w:rsidRDefault="006F136F" w:rsidP="009F4C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14.</w:t>
      </w:r>
      <w:r w:rsidR="006D3E83" w:rsidRPr="009F4CA5">
        <w:rPr>
          <w:rFonts w:ascii="Helvetica" w:hAnsi="Helvetica" w:cs="Arial"/>
          <w:sz w:val="20"/>
          <w:lang w:val="lt-LT"/>
        </w:rPr>
        <w:t xml:space="preserve"> </w:t>
      </w:r>
      <w:r w:rsidRPr="009F4CA5">
        <w:rPr>
          <w:rFonts w:ascii="Helvetica" w:hAnsi="Helvetica" w:cs="Arial"/>
          <w:sz w:val="20"/>
          <w:lang w:val="lt-LT"/>
        </w:rPr>
        <w:t xml:space="preserve">OM, </w:t>
      </w:r>
      <w:r w:rsidR="00105075" w:rsidRPr="009F4CA5">
        <w:rPr>
          <w:rFonts w:ascii="Helvetica" w:hAnsi="Helvetica" w:cs="Arial"/>
          <w:sz w:val="20"/>
          <w:lang w:val="lt-LT"/>
        </w:rPr>
        <w:t>skirtas panaudoti</w:t>
      </w:r>
      <w:r w:rsidRPr="009F4CA5">
        <w:rPr>
          <w:rFonts w:ascii="Helvetica" w:hAnsi="Helvetica" w:cs="Arial"/>
          <w:sz w:val="20"/>
          <w:lang w:val="lt-LT"/>
        </w:rPr>
        <w:t xml:space="preserve"> pagal 13 punktą,</w:t>
      </w:r>
    </w:p>
    <w:p w14:paraId="40872D8F" w14:textId="67366FCE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</w:t>
      </w:r>
      <w:r w:rsidR="008064C9" w:rsidRPr="009F4CA5">
        <w:rPr>
          <w:rFonts w:ascii="Helvetica" w:hAnsi="Helvetica" w:cs="Arial"/>
          <w:sz w:val="20"/>
          <w:lang w:val="lt-LT"/>
        </w:rPr>
        <w:t>bū</w:t>
      </w:r>
      <w:r w:rsidRPr="009F4CA5">
        <w:rPr>
          <w:rFonts w:ascii="Helvetica" w:hAnsi="Helvetica" w:cs="Arial"/>
          <w:sz w:val="20"/>
          <w:lang w:val="lt-LT"/>
        </w:rPr>
        <w:t xml:space="preserve">das papildomai apima tolesnės OM dozių serijos </w:t>
      </w:r>
      <w:r w:rsidR="008064C9" w:rsidRPr="009F4CA5">
        <w:rPr>
          <w:rFonts w:ascii="Helvetica" w:hAnsi="Helvetica" w:cs="Arial"/>
          <w:sz w:val="20"/>
          <w:lang w:val="lt-LT"/>
        </w:rPr>
        <w:t>įvedimą</w:t>
      </w:r>
      <w:r w:rsidRPr="009F4CA5">
        <w:rPr>
          <w:rFonts w:ascii="Helvetica" w:hAnsi="Helvetica" w:cs="Arial"/>
          <w:sz w:val="20"/>
          <w:lang w:val="lt-LT"/>
        </w:rPr>
        <w:t xml:space="preserve"> subjektui du kartus per dieną </w:t>
      </w:r>
      <w:proofErr w:type="spellStart"/>
      <w:r w:rsidR="008064C9" w:rsidRPr="009F4CA5">
        <w:rPr>
          <w:rFonts w:ascii="Helvetica" w:hAnsi="Helvetica" w:cs="Arial"/>
          <w:sz w:val="20"/>
          <w:lang w:val="lt-LT"/>
        </w:rPr>
        <w:t>peroraliniu</w:t>
      </w:r>
      <w:proofErr w:type="spellEnd"/>
      <w:r w:rsidR="008064C9" w:rsidRPr="009F4CA5">
        <w:rPr>
          <w:rFonts w:ascii="Helvetica" w:hAnsi="Helvetica" w:cs="Arial"/>
          <w:sz w:val="20"/>
          <w:lang w:val="lt-LT"/>
        </w:rPr>
        <w:t xml:space="preserve"> būdu</w:t>
      </w:r>
      <w:r w:rsidRPr="009F4CA5">
        <w:rPr>
          <w:rFonts w:ascii="Helvetica" w:hAnsi="Helvetica" w:cs="Arial"/>
          <w:sz w:val="20"/>
          <w:lang w:val="lt-LT"/>
        </w:rPr>
        <w:t xml:space="preserve"> trečią laikotarpį, einantį po antrojo laikotarpio,</w:t>
      </w:r>
    </w:p>
    <w:p w14:paraId="1CEB9FAB" w14:textId="49755299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kiekviena paskesnė dozė, </w:t>
      </w:r>
      <w:r w:rsidR="008064C9" w:rsidRPr="009F4CA5">
        <w:rPr>
          <w:rFonts w:ascii="Helvetica" w:hAnsi="Helvetica" w:cs="Arial"/>
          <w:sz w:val="20"/>
          <w:lang w:val="lt-LT"/>
        </w:rPr>
        <w:t>įved</w:t>
      </w:r>
      <w:r w:rsidRPr="009F4CA5">
        <w:rPr>
          <w:rFonts w:ascii="Helvetica" w:hAnsi="Helvetica" w:cs="Arial"/>
          <w:sz w:val="20"/>
          <w:lang w:val="lt-LT"/>
        </w:rPr>
        <w:t xml:space="preserve">ama per trečiąjį laikotarpį, yra pagrįsta subjekto </w:t>
      </w:r>
      <w:r w:rsidR="008064C9" w:rsidRPr="009F4CA5">
        <w:rPr>
          <w:rFonts w:ascii="Helvetica" w:hAnsi="Helvetica" w:cs="Arial"/>
          <w:sz w:val="20"/>
          <w:lang w:val="lt-LT"/>
        </w:rPr>
        <w:t xml:space="preserve">plazmos </w:t>
      </w:r>
      <w:r w:rsidRPr="009F4CA5">
        <w:rPr>
          <w:rFonts w:ascii="Helvetica" w:hAnsi="Helvetica" w:cs="Arial"/>
          <w:sz w:val="20"/>
          <w:lang w:val="lt-LT"/>
        </w:rPr>
        <w:t>koncentracija, išmatuota maždaug po 6 savaičių nuo pradinio laikotarpio pradžios, kur pasirinktinai:</w:t>
      </w:r>
    </w:p>
    <w:p w14:paraId="165918FF" w14:textId="2DFBD4F7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a.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maždaug po 6 savaičių nuo pradinio laikotarpio pradžios, yra mažesnė nei 750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>/</w:t>
      </w:r>
      <w:proofErr w:type="spellStart"/>
      <w:r w:rsidRPr="009F4CA5">
        <w:rPr>
          <w:rFonts w:ascii="Helvetica" w:hAnsi="Helvetica" w:cs="Arial"/>
          <w:sz w:val="20"/>
          <w:lang w:val="lt-LT"/>
        </w:rPr>
        <w:t>mL</w:t>
      </w:r>
      <w:proofErr w:type="spellEnd"/>
      <w:r w:rsidRPr="009F4CA5">
        <w:rPr>
          <w:rFonts w:ascii="Helvetica" w:hAnsi="Helvetica" w:cs="Arial"/>
          <w:sz w:val="20"/>
          <w:lang w:val="lt-LT"/>
        </w:rPr>
        <w:t>, kiekviena trečiojo laikotarpio dozė yra maždaug tokia pati, kaip ir vėlesnė antrojo laikotarpio dozė;</w:t>
      </w:r>
    </w:p>
    <w:p w14:paraId="7320B91D" w14:textId="4EFFA376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b.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</w:t>
      </w:r>
      <w:r w:rsidR="00065065" w:rsidRPr="009F4CA5">
        <w:rPr>
          <w:rFonts w:ascii="Helvetica" w:hAnsi="Helvetica" w:cs="Arial"/>
          <w:sz w:val="20"/>
          <w:lang w:val="lt-LT"/>
        </w:rPr>
        <w:t>maždaug po 6 savaičių</w:t>
      </w:r>
      <w:r w:rsidRPr="009F4CA5">
        <w:rPr>
          <w:rFonts w:ascii="Helvetica" w:hAnsi="Helvetica" w:cs="Arial"/>
          <w:sz w:val="20"/>
          <w:lang w:val="lt-LT"/>
        </w:rPr>
        <w:t xml:space="preserve"> nuo pradinio laikotarpio pradžios, yra didesnė arba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750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/ml ir mažesnė nei 1000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/ml, </w:t>
      </w:r>
      <w:r w:rsidR="00065065" w:rsidRPr="009F4CA5">
        <w:rPr>
          <w:rFonts w:ascii="Helvetica" w:hAnsi="Helvetica" w:cs="Arial"/>
          <w:sz w:val="20"/>
          <w:lang w:val="lt-LT"/>
        </w:rPr>
        <w:t>ir</w:t>
      </w:r>
      <w:r w:rsidRPr="009F4CA5">
        <w:rPr>
          <w:rFonts w:ascii="Helvetica" w:hAnsi="Helvetica" w:cs="Arial"/>
          <w:sz w:val="20"/>
          <w:lang w:val="lt-LT"/>
        </w:rPr>
        <w:t xml:space="preserve"> vėlesnė dozė, </w:t>
      </w:r>
      <w:r w:rsidR="00065065" w:rsidRPr="009F4CA5">
        <w:rPr>
          <w:rFonts w:ascii="Helvetica" w:hAnsi="Helvetica" w:cs="Arial"/>
          <w:sz w:val="20"/>
          <w:lang w:val="lt-LT"/>
        </w:rPr>
        <w:t>suvartota</w:t>
      </w:r>
      <w:r w:rsidRPr="009F4CA5">
        <w:rPr>
          <w:rFonts w:ascii="Helvetica" w:hAnsi="Helvetica" w:cs="Arial"/>
          <w:sz w:val="20"/>
          <w:lang w:val="lt-LT"/>
        </w:rPr>
        <w:t xml:space="preserve"> per antrąjį laikotarpį, yra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25 mg arba 37,5 mg, kiekviena trečiojo laikotarpio dozė yra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>apie 25 mg;</w:t>
      </w:r>
    </w:p>
    <w:p w14:paraId="496A7C81" w14:textId="7AAC4026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c.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</w:t>
      </w:r>
      <w:r w:rsidR="00065065" w:rsidRPr="009F4CA5">
        <w:rPr>
          <w:rFonts w:ascii="Helvetica" w:hAnsi="Helvetica" w:cs="Arial"/>
          <w:sz w:val="20"/>
          <w:lang w:val="lt-LT"/>
        </w:rPr>
        <w:t>maždaug po 6 savaičių</w:t>
      </w:r>
      <w:r w:rsidRPr="009F4CA5">
        <w:rPr>
          <w:rFonts w:ascii="Helvetica" w:hAnsi="Helvetica" w:cs="Arial"/>
          <w:sz w:val="20"/>
          <w:lang w:val="lt-LT"/>
        </w:rPr>
        <w:t xml:space="preserve"> nuo pradinio laikotarpio pradžios, yra didesnė arba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750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/ml ir mažesnė nei 1000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/ml, </w:t>
      </w:r>
      <w:r w:rsidR="00065065" w:rsidRPr="009F4CA5">
        <w:rPr>
          <w:rFonts w:ascii="Helvetica" w:hAnsi="Helvetica" w:cs="Arial"/>
          <w:sz w:val="20"/>
          <w:lang w:val="lt-LT"/>
        </w:rPr>
        <w:t>ir</w:t>
      </w:r>
      <w:r w:rsidRPr="009F4CA5">
        <w:rPr>
          <w:rFonts w:ascii="Helvetica" w:hAnsi="Helvetica" w:cs="Arial"/>
          <w:sz w:val="20"/>
          <w:lang w:val="lt-LT"/>
        </w:rPr>
        <w:t xml:space="preserve"> vėlesnė dozė, </w:t>
      </w:r>
      <w:r w:rsidR="00065065" w:rsidRPr="009F4CA5">
        <w:rPr>
          <w:rFonts w:ascii="Helvetica" w:hAnsi="Helvetica" w:cs="Arial"/>
          <w:sz w:val="20"/>
          <w:lang w:val="lt-LT"/>
        </w:rPr>
        <w:t xml:space="preserve">suvartota </w:t>
      </w:r>
      <w:r w:rsidRPr="009F4CA5">
        <w:rPr>
          <w:rFonts w:ascii="Helvetica" w:hAnsi="Helvetica" w:cs="Arial"/>
          <w:sz w:val="20"/>
          <w:lang w:val="lt-LT"/>
        </w:rPr>
        <w:t xml:space="preserve">per antrąjį laikotarpį, yra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50 mg, kiekviena trečiojo laikotarpio dozė yra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>apie 37,5 mg;</w:t>
      </w:r>
    </w:p>
    <w:p w14:paraId="15373B28" w14:textId="4860277D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d.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</w:t>
      </w:r>
      <w:r w:rsidR="00065065" w:rsidRPr="009F4CA5">
        <w:rPr>
          <w:rFonts w:ascii="Helvetica" w:hAnsi="Helvetica" w:cs="Arial"/>
          <w:sz w:val="20"/>
          <w:lang w:val="lt-LT"/>
        </w:rPr>
        <w:t>maždaug po 6 savaičių</w:t>
      </w:r>
      <w:r w:rsidRPr="009F4CA5">
        <w:rPr>
          <w:rFonts w:ascii="Helvetica" w:hAnsi="Helvetica" w:cs="Arial"/>
          <w:sz w:val="20"/>
          <w:lang w:val="lt-LT"/>
        </w:rPr>
        <w:t xml:space="preserve"> nuo pradinio laikotarpio pradžios, yra didesnė nei arba apie 1000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/ml, </w:t>
      </w:r>
      <w:r w:rsidR="00065065" w:rsidRPr="009F4CA5">
        <w:rPr>
          <w:rFonts w:ascii="Helvetica" w:hAnsi="Helvetica" w:cs="Arial"/>
          <w:sz w:val="20"/>
          <w:lang w:val="lt-LT"/>
        </w:rPr>
        <w:t>ir</w:t>
      </w:r>
      <w:r w:rsidRPr="009F4CA5">
        <w:rPr>
          <w:rFonts w:ascii="Helvetica" w:hAnsi="Helvetica" w:cs="Arial"/>
          <w:sz w:val="20"/>
          <w:lang w:val="lt-LT"/>
        </w:rPr>
        <w:t xml:space="preserve"> vėlesnė dozė, </w:t>
      </w:r>
      <w:r w:rsidR="00065065" w:rsidRPr="009F4CA5">
        <w:rPr>
          <w:rFonts w:ascii="Helvetica" w:hAnsi="Helvetica" w:cs="Arial"/>
          <w:sz w:val="20"/>
          <w:lang w:val="lt-LT"/>
        </w:rPr>
        <w:t xml:space="preserve">suvartota </w:t>
      </w:r>
      <w:r w:rsidRPr="009F4CA5">
        <w:rPr>
          <w:rFonts w:ascii="Helvetica" w:hAnsi="Helvetica" w:cs="Arial"/>
          <w:sz w:val="20"/>
          <w:lang w:val="lt-LT"/>
        </w:rPr>
        <w:t xml:space="preserve">per antrąjį laikotarpį, yra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25 mg, kiekviena trečiojo laikotarpio dozė yra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>apie 0 mg; ir</w:t>
      </w:r>
    </w:p>
    <w:p w14:paraId="02E51C4A" w14:textId="58B7C350" w:rsidR="006F136F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lastRenderedPageBreak/>
        <w:t xml:space="preserve">e. kai </w:t>
      </w:r>
      <w:r w:rsidR="00105075" w:rsidRPr="009F4CA5">
        <w:rPr>
          <w:rFonts w:ascii="Helvetica" w:hAnsi="Helvetica" w:cs="Arial"/>
          <w:sz w:val="20"/>
          <w:lang w:val="lt-LT"/>
        </w:rPr>
        <w:t>subjekto</w:t>
      </w:r>
      <w:r w:rsidRPr="009F4CA5">
        <w:rPr>
          <w:rFonts w:ascii="Helvetica" w:hAnsi="Helvetica" w:cs="Arial"/>
          <w:sz w:val="20"/>
          <w:lang w:val="lt-LT"/>
        </w:rPr>
        <w:t xml:space="preserve"> plazmos koncentracija, išmatuota </w:t>
      </w:r>
      <w:r w:rsidR="00065065" w:rsidRPr="009F4CA5">
        <w:rPr>
          <w:rFonts w:ascii="Helvetica" w:hAnsi="Helvetica" w:cs="Arial"/>
          <w:sz w:val="20"/>
          <w:lang w:val="lt-LT"/>
        </w:rPr>
        <w:t>maždaug po 6 savaičių</w:t>
      </w:r>
      <w:r w:rsidRPr="009F4CA5">
        <w:rPr>
          <w:rFonts w:ascii="Helvetica" w:hAnsi="Helvetica" w:cs="Arial"/>
          <w:sz w:val="20"/>
          <w:lang w:val="lt-LT"/>
        </w:rPr>
        <w:t xml:space="preserve"> nuo pradinio laikotarpio pradžios, yra didesnė arba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1000 </w:t>
      </w:r>
      <w:proofErr w:type="spellStart"/>
      <w:r w:rsidRPr="009F4CA5">
        <w:rPr>
          <w:rFonts w:ascii="Helvetica" w:hAnsi="Helvetica" w:cs="Arial"/>
          <w:sz w:val="20"/>
          <w:lang w:val="lt-LT"/>
        </w:rPr>
        <w:t>ng</w:t>
      </w:r>
      <w:proofErr w:type="spellEnd"/>
      <w:r w:rsidRPr="009F4CA5">
        <w:rPr>
          <w:rFonts w:ascii="Helvetica" w:hAnsi="Helvetica" w:cs="Arial"/>
          <w:sz w:val="20"/>
          <w:lang w:val="lt-LT"/>
        </w:rPr>
        <w:t xml:space="preserve">/ml, </w:t>
      </w:r>
      <w:r w:rsidR="00065065" w:rsidRPr="009F4CA5">
        <w:rPr>
          <w:rFonts w:ascii="Helvetica" w:hAnsi="Helvetica" w:cs="Arial"/>
          <w:sz w:val="20"/>
          <w:lang w:val="lt-LT"/>
        </w:rPr>
        <w:t>ir</w:t>
      </w:r>
      <w:r w:rsidRPr="009F4CA5">
        <w:rPr>
          <w:rFonts w:ascii="Helvetica" w:hAnsi="Helvetica" w:cs="Arial"/>
          <w:sz w:val="20"/>
          <w:lang w:val="lt-LT"/>
        </w:rPr>
        <w:t xml:space="preserve"> vėlesnė dozė, </w:t>
      </w:r>
      <w:r w:rsidR="00065065" w:rsidRPr="009F4CA5">
        <w:rPr>
          <w:rFonts w:ascii="Helvetica" w:hAnsi="Helvetica" w:cs="Arial"/>
          <w:sz w:val="20"/>
          <w:lang w:val="lt-LT"/>
        </w:rPr>
        <w:t xml:space="preserve">suvartota </w:t>
      </w:r>
      <w:r w:rsidRPr="009F4CA5">
        <w:rPr>
          <w:rFonts w:ascii="Helvetica" w:hAnsi="Helvetica" w:cs="Arial"/>
          <w:sz w:val="20"/>
          <w:lang w:val="lt-LT"/>
        </w:rPr>
        <w:t xml:space="preserve">per antrąjį laikotarpį, yra </w:t>
      </w:r>
      <w:r w:rsidR="00065065" w:rsidRPr="009F4CA5">
        <w:rPr>
          <w:rFonts w:ascii="Helvetica" w:hAnsi="Helvetica" w:cs="Arial"/>
          <w:sz w:val="20"/>
          <w:lang w:val="lt-LT"/>
        </w:rPr>
        <w:t xml:space="preserve">lygi </w:t>
      </w:r>
      <w:r w:rsidRPr="009F4CA5">
        <w:rPr>
          <w:rFonts w:ascii="Helvetica" w:hAnsi="Helvetica" w:cs="Arial"/>
          <w:sz w:val="20"/>
          <w:lang w:val="lt-LT"/>
        </w:rPr>
        <w:t xml:space="preserve">apie 37,5 mg arba apie 50 mg, </w:t>
      </w:r>
      <w:r w:rsidR="00065065" w:rsidRPr="009F4CA5">
        <w:rPr>
          <w:rFonts w:ascii="Helvetica" w:hAnsi="Helvetica" w:cs="Arial"/>
          <w:sz w:val="20"/>
          <w:lang w:val="lt-LT"/>
        </w:rPr>
        <w:t>kiekviena trečiojo laikotarpio dozė yra lygi</w:t>
      </w:r>
      <w:r w:rsidRPr="009F4CA5">
        <w:rPr>
          <w:rFonts w:ascii="Helvetica" w:hAnsi="Helvetica" w:cs="Arial"/>
          <w:sz w:val="20"/>
          <w:lang w:val="lt-LT"/>
        </w:rPr>
        <w:t xml:space="preserve"> apie 25 mg; </w:t>
      </w:r>
      <w:r w:rsidR="00105075" w:rsidRPr="009F4CA5">
        <w:rPr>
          <w:rFonts w:ascii="Helvetica" w:hAnsi="Helvetica" w:cs="Arial"/>
          <w:sz w:val="20"/>
          <w:lang w:val="lt-LT"/>
        </w:rPr>
        <w:t>ir (arba)</w:t>
      </w:r>
    </w:p>
    <w:p w14:paraId="2A7B038C" w14:textId="3117EFF2" w:rsidR="006F136F" w:rsidRPr="009F4CA5" w:rsidRDefault="00065065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>kur būdas papildomai apima subjekto koncentracijos plazmoje matavimą maždaug po</w:t>
      </w:r>
      <w:r w:rsidR="006F136F" w:rsidRPr="009F4CA5">
        <w:rPr>
          <w:rFonts w:ascii="Helvetica" w:hAnsi="Helvetica" w:cs="Arial"/>
          <w:sz w:val="20"/>
          <w:lang w:val="lt-LT"/>
        </w:rPr>
        <w:t xml:space="preserve"> 6 savaičių nuo pradinio laiko periodo pradžios; </w:t>
      </w:r>
      <w:r w:rsidR="00105075" w:rsidRPr="009F4CA5">
        <w:rPr>
          <w:rFonts w:ascii="Helvetica" w:hAnsi="Helvetica" w:cs="Arial"/>
          <w:sz w:val="20"/>
          <w:lang w:val="lt-LT"/>
        </w:rPr>
        <w:t>ir (arba)</w:t>
      </w:r>
    </w:p>
    <w:p w14:paraId="777CAC89" w14:textId="1875C4E9" w:rsidR="007B11E6" w:rsidRPr="009F4CA5" w:rsidRDefault="006F136F" w:rsidP="009F4CA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9F4CA5">
        <w:rPr>
          <w:rFonts w:ascii="Helvetica" w:hAnsi="Helvetica" w:cs="Arial"/>
          <w:sz w:val="20"/>
          <w:lang w:val="lt-LT"/>
        </w:rPr>
        <w:t xml:space="preserve">kur trečiasis laikotarpis </w:t>
      </w:r>
      <w:r w:rsidR="00065065" w:rsidRPr="009F4CA5">
        <w:rPr>
          <w:rFonts w:ascii="Helvetica" w:hAnsi="Helvetica" w:cs="Arial"/>
          <w:sz w:val="20"/>
          <w:lang w:val="lt-LT"/>
        </w:rPr>
        <w:t>trunka trumpiausiai</w:t>
      </w:r>
      <w:r w:rsidRPr="009F4CA5">
        <w:rPr>
          <w:rFonts w:ascii="Helvetica" w:hAnsi="Helvetica" w:cs="Arial"/>
          <w:sz w:val="20"/>
          <w:lang w:val="lt-LT"/>
        </w:rPr>
        <w:t xml:space="preserve"> arba maždaug 4 savait</w:t>
      </w:r>
      <w:r w:rsidR="00065065" w:rsidRPr="009F4CA5">
        <w:rPr>
          <w:rFonts w:ascii="Helvetica" w:hAnsi="Helvetica" w:cs="Arial"/>
          <w:sz w:val="20"/>
          <w:lang w:val="lt-LT"/>
        </w:rPr>
        <w:t>e</w:t>
      </w:r>
      <w:r w:rsidRPr="009F4CA5">
        <w:rPr>
          <w:rFonts w:ascii="Helvetica" w:hAnsi="Helvetica" w:cs="Arial"/>
          <w:sz w:val="20"/>
          <w:lang w:val="lt-LT"/>
        </w:rPr>
        <w:t>s po antrojo laikotarpio.</w:t>
      </w:r>
    </w:p>
    <w:sectPr w:rsidR="007B11E6" w:rsidRPr="009F4CA5" w:rsidSect="009F4CA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3C07" w14:textId="77777777" w:rsidR="00437BC8" w:rsidRDefault="00437BC8" w:rsidP="007B0A41">
      <w:pPr>
        <w:spacing w:after="0" w:line="240" w:lineRule="auto"/>
      </w:pPr>
      <w:r>
        <w:separator/>
      </w:r>
    </w:p>
  </w:endnote>
  <w:endnote w:type="continuationSeparator" w:id="0">
    <w:p w14:paraId="30F2D644" w14:textId="77777777" w:rsidR="00437BC8" w:rsidRDefault="00437BC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AB5B" w14:textId="77777777" w:rsidR="00437BC8" w:rsidRDefault="00437BC8" w:rsidP="007B0A41">
      <w:pPr>
        <w:spacing w:after="0" w:line="240" w:lineRule="auto"/>
      </w:pPr>
      <w:r>
        <w:separator/>
      </w:r>
    </w:p>
  </w:footnote>
  <w:footnote w:type="continuationSeparator" w:id="0">
    <w:p w14:paraId="0309C6FA" w14:textId="77777777" w:rsidR="00437BC8" w:rsidRDefault="00437BC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065"/>
    <w:rsid w:val="00065F0D"/>
    <w:rsid w:val="00070D8A"/>
    <w:rsid w:val="00092D0B"/>
    <w:rsid w:val="000C68F9"/>
    <w:rsid w:val="000D0403"/>
    <w:rsid w:val="000E6C31"/>
    <w:rsid w:val="000F1D6A"/>
    <w:rsid w:val="00105075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34817"/>
    <w:rsid w:val="003508C5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37BC8"/>
    <w:rsid w:val="00443029"/>
    <w:rsid w:val="0044384C"/>
    <w:rsid w:val="00454FC8"/>
    <w:rsid w:val="00473E17"/>
    <w:rsid w:val="004922D2"/>
    <w:rsid w:val="004A11D8"/>
    <w:rsid w:val="004C1469"/>
    <w:rsid w:val="004C7025"/>
    <w:rsid w:val="004F06A1"/>
    <w:rsid w:val="00500B25"/>
    <w:rsid w:val="00514B02"/>
    <w:rsid w:val="0053198F"/>
    <w:rsid w:val="005324BA"/>
    <w:rsid w:val="00553860"/>
    <w:rsid w:val="00560B7D"/>
    <w:rsid w:val="00564911"/>
    <w:rsid w:val="0059478E"/>
    <w:rsid w:val="00596912"/>
    <w:rsid w:val="005B760E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3E83"/>
    <w:rsid w:val="006D6063"/>
    <w:rsid w:val="006F136F"/>
    <w:rsid w:val="006F1620"/>
    <w:rsid w:val="006F52F9"/>
    <w:rsid w:val="007752B9"/>
    <w:rsid w:val="007760A8"/>
    <w:rsid w:val="00790202"/>
    <w:rsid w:val="00794414"/>
    <w:rsid w:val="00795D58"/>
    <w:rsid w:val="007A3CB1"/>
    <w:rsid w:val="007A4B6F"/>
    <w:rsid w:val="007B0A41"/>
    <w:rsid w:val="007B11E6"/>
    <w:rsid w:val="007C0A0D"/>
    <w:rsid w:val="007C60FE"/>
    <w:rsid w:val="007D299E"/>
    <w:rsid w:val="007E2261"/>
    <w:rsid w:val="008064C9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C6FC8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B7115"/>
    <w:rsid w:val="009C0650"/>
    <w:rsid w:val="009E1482"/>
    <w:rsid w:val="009F4CA5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6B76"/>
    <w:rsid w:val="00AE7DF3"/>
    <w:rsid w:val="00AF3096"/>
    <w:rsid w:val="00B200E3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07572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26820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0597"/>
    <w:rsid w:val="00E321B7"/>
    <w:rsid w:val="00E33FCB"/>
    <w:rsid w:val="00E91AE0"/>
    <w:rsid w:val="00EB1EE5"/>
    <w:rsid w:val="00EB6F08"/>
    <w:rsid w:val="00EC2BD7"/>
    <w:rsid w:val="00ED04B0"/>
    <w:rsid w:val="00F01CE8"/>
    <w:rsid w:val="00F05866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0FE3C9E7-F767-4897-961F-2C348A8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5414</Characters>
  <Application>Microsoft Office Word</Application>
  <DocSecurity>0</DocSecurity>
  <Lines>98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</cp:revision>
  <dcterms:created xsi:type="dcterms:W3CDTF">2024-12-09T13:57:00Z</dcterms:created>
  <dcterms:modified xsi:type="dcterms:W3CDTF">2025-01-02T09:11:00Z</dcterms:modified>
</cp:coreProperties>
</file>