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74FF" w14:textId="17036FAA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tinkamas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injekcijai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stiklakūnį,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stiklinį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korpusą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kaištį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stūmoklį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(4),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korpusas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išėjimo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angą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išėjimo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angos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gale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(14)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kaištį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(10),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sumontuotą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korpuse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taip,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kad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kaiščio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priekinis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paviršius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(16)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korpusas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sudaro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kintamo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talpą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(18),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kurios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skystis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gali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būti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išstumiamas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per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išėjimo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angą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(12),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stūmoklis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(4)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stūmoklio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kontaktavimo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paviršių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priekiniame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gale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(24)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strypą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(26),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besitęsiantį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tarp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stūmoklio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kontaktavimo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paviršiaus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galinės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dalies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(25),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stūmoklio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kontaktavimo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paviršius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sumontuotas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kontakte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kaiščiu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taip,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kad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stūmoklis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(4)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gali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būti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naudojamas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stumti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kaištį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link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korpuso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išėjimo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angos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galo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(14),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sumažinant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kintamo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talpos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(18)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tūrį,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skystis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akių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tirpalas,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kur:</w:t>
      </w:r>
    </w:p>
    <w:p w14:paraId="528C172E" w14:textId="1B51B01E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(a)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turi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nominaliai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maksimalų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nuo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iki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ml,</w:t>
      </w:r>
    </w:p>
    <w:p w14:paraId="6362108F" w14:textId="136F15B8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(b)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minėtu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dozės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tūriu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nuo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0,03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iki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0,05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ml,</w:t>
      </w:r>
    </w:p>
    <w:p w14:paraId="4422176A" w14:textId="41A43E16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(d)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VEFG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daugiau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≥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50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µm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skersmens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daleles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viename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</w:p>
    <w:p w14:paraId="6AE912B3" w14:textId="63F06A28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 xml:space="preserve">b e s i s k i r i a n t i s  </w:t>
      </w:r>
      <w:r w:rsidRPr="008301C2">
        <w:rPr>
          <w:rFonts w:ascii="Helvetica" w:hAnsi="Helvetica" w:cs="Helvetica"/>
          <w:sz w:val="20"/>
        </w:rPr>
        <w:t>tuo,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kad:</w:t>
      </w:r>
    </w:p>
    <w:p w14:paraId="0A7F4B07" w14:textId="34265DAB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(d)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ranibizumabas</w:t>
      </w:r>
      <w:proofErr w:type="spellEnd"/>
      <w:r w:rsidRPr="008301C2">
        <w:rPr>
          <w:rFonts w:ascii="Helvetica" w:hAnsi="Helvetica" w:cs="Helvetica"/>
          <w:sz w:val="20"/>
        </w:rPr>
        <w:t>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</w:p>
    <w:p w14:paraId="506DF188" w14:textId="2E18AA73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(e)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cilindre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50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µg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silikoninės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alyvos.</w:t>
      </w:r>
    </w:p>
    <w:p w14:paraId="24D7CBC5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5B1047C" w14:textId="5C4469CF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2.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0,15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0,175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(20).</w:t>
      </w:r>
    </w:p>
    <w:p w14:paraId="7305BA32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DC5165C" w14:textId="34A132F3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3.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0,165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minėtu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(20).</w:t>
      </w:r>
    </w:p>
    <w:p w14:paraId="4CF7AD8C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4C9C3CD" w14:textId="0EA2DE0C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4.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0,05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dozės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tūriu.</w:t>
      </w:r>
    </w:p>
    <w:p w14:paraId="5B69778C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81C1B29" w14:textId="1032D174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5.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dozės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nustatomas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kintamo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tūrio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talpą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(18),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nustatyta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kaiščio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dalis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sulygiuota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žyme.</w:t>
      </w:r>
    </w:p>
    <w:p w14:paraId="694AE3E9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91650C3" w14:textId="3C3E0184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6.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cilindras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turi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vidinį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silikoninės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alyvos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dangalą,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vidutinis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storis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450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geriau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400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geriau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350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geriau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300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geriau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200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geriau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100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geriau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50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geriau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20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mažiau.</w:t>
      </w:r>
    </w:p>
    <w:p w14:paraId="682530FD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5D54654" w14:textId="66637C96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7.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cilindre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µg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silikoninės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alyvos,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µg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silikoninės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alyvos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pageidautina,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mažiau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µg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silikoninės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alyvos.</w:t>
      </w:r>
    </w:p>
    <w:p w14:paraId="11F7FE5A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1E583A8" w14:textId="60479F59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8.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1–5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(a)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cilindras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nėra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padengtas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silikonine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alyva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(b)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esmės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silikoninės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alyvos.</w:t>
      </w:r>
    </w:p>
    <w:p w14:paraId="0CF8B062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B9345E4" w14:textId="511E4090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9.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papildomai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vieną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daugiau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(i)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daugiau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negu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≥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µm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skersmens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dalelių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viename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(ii)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daugiau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negu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50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≥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µm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skersmens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dalelių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viename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ml.</w:t>
      </w:r>
    </w:p>
    <w:p w14:paraId="1BED0EB4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059BED1" w14:textId="26ADA9CE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lastRenderedPageBreak/>
        <w:t>10.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tirpalas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(20)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atitinka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USP789</w:t>
      </w:r>
      <w:proofErr w:type="spellEnd"/>
      <w:r w:rsidRPr="008301C2">
        <w:rPr>
          <w:rFonts w:ascii="Helvetica" w:hAnsi="Helvetica" w:cs="Helvetica"/>
          <w:sz w:val="20"/>
        </w:rPr>
        <w:t>.</w:t>
      </w:r>
    </w:p>
    <w:p w14:paraId="3DFA574E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7F41D15" w14:textId="04E2827D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11.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ranibizumabo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koncentracija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mg/ml.</w:t>
      </w:r>
    </w:p>
    <w:p w14:paraId="7B0C8EFC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BD64A04" w14:textId="391F10B5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12.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ankstesnį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sterilizuojamas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naudojant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H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r w:rsidRPr="008301C2">
        <w:rPr>
          <w:rFonts w:ascii="Helvetica" w:hAnsi="Helvetica" w:cs="Helvetica"/>
          <w:sz w:val="20"/>
        </w:rPr>
        <w:t>O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EtO</w:t>
      </w:r>
      <w:proofErr w:type="spellEnd"/>
      <w:r w:rsidRPr="008301C2">
        <w:rPr>
          <w:rFonts w:ascii="Helvetica" w:hAnsi="Helvetica" w:cs="Helvetica"/>
          <w:sz w:val="20"/>
        </w:rPr>
        <w:t>.</w:t>
      </w:r>
    </w:p>
    <w:p w14:paraId="56E247A7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1E3C775" w14:textId="1EEC76C6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13.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išorinis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paviršius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turi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≤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ppm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EtO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H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r w:rsidRPr="008301C2">
        <w:rPr>
          <w:rFonts w:ascii="Helvetica" w:hAnsi="Helvetica" w:cs="Helvetica"/>
          <w:sz w:val="20"/>
        </w:rPr>
        <w:t>O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liekanų.</w:t>
      </w:r>
    </w:p>
    <w:p w14:paraId="5A679BA9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3CB7929" w14:textId="279EA9DE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14.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sterilizuojamas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naudojant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EtO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H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r w:rsidRPr="008301C2">
        <w:rPr>
          <w:rFonts w:ascii="Helvetica" w:hAnsi="Helvetica" w:cs="Helvetica"/>
          <w:sz w:val="20"/>
        </w:rPr>
        <w:t>O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bendros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EtO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H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r w:rsidRPr="008301C2">
        <w:rPr>
          <w:rFonts w:ascii="Helvetica" w:hAnsi="Helvetica" w:cs="Helvetica"/>
          <w:sz w:val="20"/>
        </w:rPr>
        <w:t>O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liekanos,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randamos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išorėje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viduje,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≤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0,1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mg.</w:t>
      </w:r>
    </w:p>
    <w:p w14:paraId="3FF400C5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ECE6E78" w14:textId="0039765F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15.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12–14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≤5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%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VEGF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antagonistų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alkilinta</w:t>
      </w:r>
      <w:proofErr w:type="spellEnd"/>
      <w:r w:rsidRPr="008301C2">
        <w:rPr>
          <w:rFonts w:ascii="Helvetica" w:hAnsi="Helvetica" w:cs="Helvetica"/>
          <w:sz w:val="20"/>
        </w:rPr>
        <w:t>.</w:t>
      </w:r>
    </w:p>
    <w:p w14:paraId="2070B076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E2E618E" w14:textId="59096FAC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16.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12–15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sterilizuojamas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naudojant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EtO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H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r w:rsidRPr="008301C2">
        <w:rPr>
          <w:rFonts w:ascii="Helvetica" w:hAnsi="Helvetica" w:cs="Helvetica"/>
          <w:sz w:val="20"/>
        </w:rPr>
        <w:t>O</w:t>
      </w:r>
      <w:r w:rsidRPr="008301C2">
        <w:rPr>
          <w:rFonts w:ascii="Helvetica" w:hAnsi="Helvetica" w:cs="Helvetica"/>
          <w:sz w:val="20"/>
          <w:vertAlign w:val="subscript"/>
        </w:rPr>
        <w:t>2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bent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10</w:t>
      </w:r>
      <w:r w:rsidRPr="008301C2">
        <w:rPr>
          <w:rFonts w:ascii="Helvetica" w:hAnsi="Helvetica" w:cs="Helvetica"/>
          <w:sz w:val="20"/>
          <w:vertAlign w:val="superscript"/>
        </w:rPr>
        <w:t>-6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sterilumo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užtikrinimo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lygį.</w:t>
      </w:r>
    </w:p>
    <w:p w14:paraId="74615162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47C23C5" w14:textId="462F5B28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17.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12–16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išorinis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paviršius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lieka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sterilus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(kol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lizdinėje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pakuotėje)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iki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6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mėnesių,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9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mėnesių,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mėnesių,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15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mėnesių,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18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mėnesių,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24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mėnesių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ilgiau.</w:t>
      </w:r>
    </w:p>
    <w:p w14:paraId="3975307B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FD1B872" w14:textId="7F90ED37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18.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Rinkinys,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apimantis: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(i)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1–11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arba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lizdinę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pakuotę,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apimančią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12–17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(ii)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adatą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pasirinktinai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(iii)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vartojimo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instrukciją.</w:t>
      </w:r>
    </w:p>
    <w:p w14:paraId="0B9DDE7C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26CF232" w14:textId="3566606F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19.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Rinkinys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18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adata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yra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30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dydžio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x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12,7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mm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(30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dydžio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x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½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colio)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adata.</w:t>
      </w:r>
    </w:p>
    <w:p w14:paraId="68943603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8E906BB" w14:textId="390E3DA1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20.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1–11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skirtas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naudoti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terapijoje.</w:t>
      </w:r>
    </w:p>
    <w:p w14:paraId="3EB3EE27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7C42D2E" w14:textId="01F473B3" w:rsidR="008301C2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21.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bet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1–11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skirtas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naudoti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akių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ligų,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parinktų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choroidalinės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neovaskuliarizacijos</w:t>
      </w:r>
      <w:proofErr w:type="spellEnd"/>
      <w:r w:rsidRPr="008301C2">
        <w:rPr>
          <w:rFonts w:ascii="Helvetica" w:hAnsi="Helvetica" w:cs="Helvetica"/>
          <w:sz w:val="20"/>
        </w:rPr>
        <w:t>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drėgnosios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senatvinės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geltonosios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dėmės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degeneracijos,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geltonosios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dėmės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edemos,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atsiradusios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tinklainės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venų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okliuzijos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</w:t>
      </w:r>
      <w:proofErr w:type="spellStart"/>
      <w:r w:rsidRPr="008301C2">
        <w:rPr>
          <w:rFonts w:ascii="Helvetica" w:hAnsi="Helvetica" w:cs="Helvetica"/>
          <w:sz w:val="20"/>
        </w:rPr>
        <w:t>RVO</w:t>
      </w:r>
      <w:proofErr w:type="spellEnd"/>
      <w:r w:rsidRPr="008301C2">
        <w:rPr>
          <w:rFonts w:ascii="Helvetica" w:hAnsi="Helvetica" w:cs="Helvetica"/>
          <w:sz w:val="20"/>
        </w:rPr>
        <w:t>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įskaitant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tiek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vienos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šakos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RVO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</w:t>
      </w:r>
      <w:proofErr w:type="spellStart"/>
      <w:r w:rsidRPr="008301C2">
        <w:rPr>
          <w:rFonts w:ascii="Helvetica" w:hAnsi="Helvetica" w:cs="Helvetica"/>
          <w:sz w:val="20"/>
        </w:rPr>
        <w:t>bRVO</w:t>
      </w:r>
      <w:proofErr w:type="spellEnd"/>
      <w:r w:rsidRPr="008301C2">
        <w:rPr>
          <w:rFonts w:ascii="Helvetica" w:hAnsi="Helvetica" w:cs="Helvetica"/>
          <w:sz w:val="20"/>
        </w:rPr>
        <w:t>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tiek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centrinę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RVO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</w:t>
      </w:r>
      <w:proofErr w:type="spellStart"/>
      <w:r w:rsidRPr="008301C2">
        <w:rPr>
          <w:rFonts w:ascii="Helvetica" w:hAnsi="Helvetica" w:cs="Helvetica"/>
          <w:sz w:val="20"/>
        </w:rPr>
        <w:t>cRVO</w:t>
      </w:r>
      <w:proofErr w:type="spellEnd"/>
      <w:r w:rsidRPr="008301C2">
        <w:rPr>
          <w:rFonts w:ascii="Helvetica" w:hAnsi="Helvetica" w:cs="Helvetica"/>
          <w:sz w:val="20"/>
        </w:rPr>
        <w:t>),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choroidalinės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neovaskuliarizacijos</w:t>
      </w:r>
      <w:proofErr w:type="spellEnd"/>
      <w:r w:rsidRPr="008301C2">
        <w:rPr>
          <w:rFonts w:ascii="Helvetica" w:hAnsi="Helvetica" w:cs="Helvetica"/>
          <w:sz w:val="20"/>
        </w:rPr>
        <w:t>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atsiradusios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patologinės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miopijos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</w:t>
      </w:r>
      <w:proofErr w:type="spellStart"/>
      <w:r w:rsidRPr="008301C2">
        <w:rPr>
          <w:rFonts w:ascii="Helvetica" w:hAnsi="Helvetica" w:cs="Helvetica"/>
          <w:sz w:val="20"/>
        </w:rPr>
        <w:t>PM</w:t>
      </w:r>
      <w:proofErr w:type="spellEnd"/>
      <w:r w:rsidRPr="008301C2">
        <w:rPr>
          <w:rFonts w:ascii="Helvetica" w:hAnsi="Helvetica" w:cs="Helvetica"/>
          <w:sz w:val="20"/>
        </w:rPr>
        <w:t>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diabetinės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geltonosios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dėmės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edemos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</w:t>
      </w:r>
      <w:proofErr w:type="spellStart"/>
      <w:r w:rsidRPr="008301C2">
        <w:rPr>
          <w:rFonts w:ascii="Helvetica" w:hAnsi="Helvetica" w:cs="Helvetica"/>
          <w:sz w:val="20"/>
        </w:rPr>
        <w:t>DME</w:t>
      </w:r>
      <w:proofErr w:type="spellEnd"/>
      <w:r w:rsidRPr="008301C2">
        <w:rPr>
          <w:rFonts w:ascii="Helvetica" w:hAnsi="Helvetica" w:cs="Helvetica"/>
          <w:sz w:val="20"/>
        </w:rPr>
        <w:t>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diabetinės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retinopatijos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ir</w:t>
      </w:r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proliferacinės</w:t>
      </w:r>
      <w:proofErr w:type="spellEnd"/>
      <w:r w:rsidRPr="008301C2">
        <w:rPr>
          <w:rFonts w:ascii="Helvetica" w:hAnsi="Helvetica" w:cs="Helvetica"/>
          <w:sz w:val="20"/>
        </w:rPr>
        <w:t xml:space="preserve"> </w:t>
      </w:r>
      <w:proofErr w:type="spellStart"/>
      <w:r w:rsidRPr="008301C2">
        <w:rPr>
          <w:rFonts w:ascii="Helvetica" w:hAnsi="Helvetica" w:cs="Helvetica"/>
          <w:sz w:val="20"/>
        </w:rPr>
        <w:t>retinopatijos</w:t>
      </w:r>
      <w:proofErr w:type="spellEnd"/>
      <w:r w:rsidRPr="008301C2">
        <w:rPr>
          <w:rFonts w:ascii="Helvetica" w:hAnsi="Helvetica" w:cs="Helvetica"/>
          <w:sz w:val="20"/>
        </w:rPr>
        <w:t>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gydymui.</w:t>
      </w:r>
    </w:p>
    <w:p w14:paraId="5C05FD79" w14:textId="77777777" w:rsidR="008301C2" w:rsidRPr="008301C2" w:rsidRDefault="008301C2" w:rsidP="008301C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7766BAF" w14:textId="192571FA" w:rsidR="0018473C" w:rsidRPr="008301C2" w:rsidRDefault="008301C2" w:rsidP="008301C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301C2">
        <w:rPr>
          <w:rFonts w:ascii="Helvetica" w:hAnsi="Helvetica" w:cs="Helvetica"/>
          <w:sz w:val="20"/>
        </w:rPr>
        <w:t>22.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skirtas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naudoti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pagal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21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punktą,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gydymas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apima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pirminį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etapą,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kurio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metu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gydytojas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nuspaudžia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švirkšto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(1)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stūmoklį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(4),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kad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iš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anksto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nustatyta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kaiščio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dalis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būtų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sulygiuota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su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užpildymo</w:t>
      </w:r>
      <w:r w:rsidRPr="008301C2">
        <w:rPr>
          <w:rFonts w:ascii="Helvetica" w:hAnsi="Helvetica" w:cs="Helvetica"/>
          <w:sz w:val="20"/>
        </w:rPr>
        <w:t xml:space="preserve"> </w:t>
      </w:r>
      <w:r w:rsidRPr="008301C2">
        <w:rPr>
          <w:rFonts w:ascii="Helvetica" w:hAnsi="Helvetica" w:cs="Helvetica"/>
          <w:sz w:val="20"/>
        </w:rPr>
        <w:t>žyme.</w:t>
      </w:r>
    </w:p>
    <w:sectPr w:rsidR="0018473C" w:rsidRPr="008301C2" w:rsidSect="008301C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0B4C" w14:textId="77777777" w:rsidR="00B413C9" w:rsidRDefault="00B413C9" w:rsidP="008301C2">
      <w:pPr>
        <w:spacing w:after="0" w:line="240" w:lineRule="auto"/>
      </w:pPr>
      <w:r>
        <w:separator/>
      </w:r>
    </w:p>
  </w:endnote>
  <w:endnote w:type="continuationSeparator" w:id="0">
    <w:p w14:paraId="19978692" w14:textId="77777777" w:rsidR="00B413C9" w:rsidRDefault="00B413C9" w:rsidP="0083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2746" w14:textId="77777777" w:rsidR="00B413C9" w:rsidRDefault="00B413C9" w:rsidP="008301C2">
      <w:pPr>
        <w:spacing w:after="0" w:line="240" w:lineRule="auto"/>
      </w:pPr>
      <w:r>
        <w:separator/>
      </w:r>
    </w:p>
  </w:footnote>
  <w:footnote w:type="continuationSeparator" w:id="0">
    <w:p w14:paraId="0751A512" w14:textId="77777777" w:rsidR="00B413C9" w:rsidRDefault="00B413C9" w:rsidP="00830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C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301C2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413C9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E8645"/>
  <w15:chartTrackingRefBased/>
  <w15:docId w15:val="{015052F5-EF8C-4DF2-BC2D-8053EA4D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30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1C2"/>
  </w:style>
  <w:style w:type="paragraph" w:styleId="Porat">
    <w:name w:val="footer"/>
    <w:basedOn w:val="prastasis"/>
    <w:link w:val="PoratDiagrama"/>
    <w:uiPriority w:val="99"/>
    <w:unhideWhenUsed/>
    <w:rsid w:val="00830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4625</Characters>
  <Application>Microsoft Office Word</Application>
  <DocSecurity>0</DocSecurity>
  <Lines>90</Lines>
  <Paragraphs>34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2022-04-29T11:56:00Z</dcterms:created>
  <dcterms:modified xsi:type="dcterms:W3CDTF">2022-04-29T11:58:00Z</dcterms:modified>
</cp:coreProperties>
</file>