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CBE2" w14:textId="3DCCE358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ntikūno, g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eban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čio 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susirišti 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CLD18A2, bet ne 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CLD18A1</w:t>
      </w:r>
      <w:r w:rsidR="00D12028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ir</w:t>
      </w:r>
      <w:r w:rsidR="00D27925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susirišus 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</w:t>
      </w:r>
      <w:r w:rsidR="00D27925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tarpininkau</w:t>
      </w:r>
      <w:r w:rsidR="00673642" w:rsidRPr="00065A20">
        <w:rPr>
          <w:rFonts w:ascii="Helvetica" w:eastAsia="Times New Roman" w:hAnsi="Helvetica" w:cs="Arial"/>
          <w:sz w:val="20"/>
          <w:szCs w:val="24"/>
          <w:lang w:eastAsia="lt-LT"/>
        </w:rPr>
        <w:t>ti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</w:t>
      </w:r>
      <w:r w:rsidR="001E724F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lių sunaikinime, </w:t>
      </w:r>
      <w:r w:rsidR="0060300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kurį 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>atlieka</w:t>
      </w:r>
      <w:r w:rsidR="0060300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T ląstelės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1E724F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12028" w:rsidRPr="00065A20">
        <w:rPr>
          <w:rFonts w:ascii="Helvetica" w:eastAsia="Times New Roman" w:hAnsi="Helvetica" w:cs="Arial"/>
          <w:sz w:val="20"/>
          <w:szCs w:val="24"/>
          <w:lang w:eastAsia="lt-LT"/>
        </w:rPr>
        <w:t>gamybos būdas</w:t>
      </w:r>
      <w:r w:rsidR="00D12028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D12028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D12028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D12028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vitro</w:t>
      </w:r>
      <w:proofErr w:type="spellEnd"/>
      <w:r w:rsidR="00D1202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1E724F" w:rsidRPr="00065A20">
        <w:rPr>
          <w:rFonts w:ascii="Helvetica" w:eastAsia="Times New Roman" w:hAnsi="Helvetica" w:cs="Arial"/>
          <w:sz w:val="20"/>
          <w:szCs w:val="24"/>
          <w:lang w:eastAsia="lt-LT"/>
        </w:rPr>
        <w:t>šis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1E724F" w:rsidRPr="00065A20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das apima</w:t>
      </w:r>
      <w:r w:rsidR="001E724F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tokius etapus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3BA9D146" w14:textId="7CCE3CEC" w:rsidR="00F01FC8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(a) ląstel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s-šeiminink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transformavimą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raiškos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vektoriumi, 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vykda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nčiu antikūno sunki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ės raišką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ir 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raiškos vektoriumi, vykdančiu antikūno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lengv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osios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ės raišką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, arba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raiškos vektoriumi, vykdančiu antikūno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abi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ejų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grandin</w:t>
      </w:r>
      <w:r w:rsidR="008006AA" w:rsidRPr="00065A20">
        <w:rPr>
          <w:rFonts w:ascii="Helvetica" w:eastAsia="Times New Roman" w:hAnsi="Helvetica" w:cs="Arial"/>
          <w:sz w:val="20"/>
          <w:szCs w:val="24"/>
          <w:lang w:eastAsia="lt-LT"/>
        </w:rPr>
        <w:t>ių raišką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kur antikūnas, surinktas iš minėtų antikūnų grandinių, </w:t>
      </w:r>
      <w:r w:rsidR="00F01FC8" w:rsidRPr="00065A20">
        <w:rPr>
          <w:rFonts w:ascii="Helvetica" w:eastAsia="Times New Roman" w:hAnsi="Helvetica" w:cs="Arial"/>
          <w:sz w:val="20"/>
          <w:szCs w:val="24"/>
          <w:lang w:eastAsia="lt-LT"/>
        </w:rPr>
        <w:t>pasižymi gebėjimu susirišti su CLD18A2, bet ne su CLD18A1;</w:t>
      </w:r>
    </w:p>
    <w:p w14:paraId="3ECD4DA8" w14:textId="73386BCC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kur ląstelė yra transformuota</w:t>
      </w:r>
      <w:r w:rsidR="0060300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taip</w:t>
      </w:r>
      <w:r w:rsidR="00F01FC8" w:rsidRPr="00065A20">
        <w:rPr>
          <w:rFonts w:ascii="Helvetica" w:eastAsia="Times New Roman" w:hAnsi="Helvetica" w:cs="Arial"/>
          <w:sz w:val="20"/>
          <w:szCs w:val="24"/>
          <w:lang w:eastAsia="lt-LT"/>
        </w:rPr>
        <w:t>, kad apimtų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6528F47B" w14:textId="4C7337F9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(i) nukleorūgščių sek</w:t>
      </w:r>
      <w:r w:rsidR="00F01FC8" w:rsidRPr="00065A2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, koduojan</w:t>
      </w:r>
      <w:r w:rsidR="00F01FC8" w:rsidRPr="00065A20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 sunkiąją grandinę, apimančią antikūno sunkiosios grandinės kintamą sritį (VH), apimančią CDR1, CDR2 ir CDR3 sritis, </w:t>
      </w:r>
      <w:r w:rsidR="00F01FC8" w:rsidRPr="00065A20">
        <w:rPr>
          <w:rFonts w:ascii="Helvetica" w:eastAsia="Times New Roman" w:hAnsi="Helvetica" w:cs="Arial"/>
          <w:sz w:val="20"/>
          <w:szCs w:val="24"/>
          <w:lang w:eastAsia="lt-LT"/>
        </w:rPr>
        <w:t>kurių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01FC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aminorūgščių sekos yra SEQ ID Nr. 117 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padėtys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45-52, 70-77 ir 116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124, atitinkamai; ir nukleorūgščių seką, koduojančią antikūno lengvąją grandinę, apimančią antikūno lengvosios grandinės kintamą sritį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(VL), apimančią CDR1, CDR2 ir CDR3 sritis, 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kurių aminorūgščių sekos yra SEQ ID Nr. 123 padėtys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47-52, 70-72 ir 109-117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atitinkamai; arba nukleorūgščių seką, koduojančią minėtas antikūnų grandines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E74BF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>turinčias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iki 5 aminorūgščių pak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>eitim</w:t>
      </w:r>
      <w:r w:rsidR="00E74BFA" w:rsidRPr="00065A2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minėtoje CDR srityje; arba</w:t>
      </w:r>
    </w:p>
    <w:p w14:paraId="6F37FECD" w14:textId="031BB42A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(ii) nukleorūgščių sek</w:t>
      </w:r>
      <w:r w:rsidR="00742CF9" w:rsidRPr="00065A2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, koduojan</w:t>
      </w:r>
      <w:r w:rsidR="008F38E9" w:rsidRPr="00065A20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 sunkiąją grandinę, apimančią antikūno sunkiosios grandinės kintamą sritį (VH), apimančią CDR1, CDR2 ir CDR3 sritis, </w:t>
      </w:r>
      <w:r w:rsidR="008F38E9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kurių aminorūgščių sekos yra SEQ ID Nr. 116 padėtys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45-52, 70-77 ir 116</w:t>
      </w:r>
      <w:r w:rsidR="008F38E9" w:rsidRPr="00065A2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126, atitinkamai; ir nukleorūgščių seką, koduojančią antikūno lengvąją grandinę,</w:t>
      </w:r>
      <w:r w:rsidR="00E74BF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apimančią antikūno lengvosios grandinės kintamą sritį (VL), apimančią CDR1, CDR2 ir CDR3 sritis, </w:t>
      </w:r>
      <w:r w:rsidR="00227FAF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kurių aminorūgščių sekos yra SEQ ID Nr. 121 padėtys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47-58, 76-78 ir 115-123, atitinkamai; arba nukleorūgščių seką, koduojančią minėtas antikūnų grandine</w:t>
      </w:r>
      <w:r w:rsidR="00227FAF" w:rsidRPr="00065A20">
        <w:rPr>
          <w:rFonts w:ascii="Helvetica" w:eastAsia="Times New Roman" w:hAnsi="Helvetica" w:cs="Arial"/>
          <w:sz w:val="20"/>
          <w:szCs w:val="24"/>
          <w:lang w:eastAsia="lt-LT"/>
        </w:rPr>
        <w:t>s, turinčias iki 5 aminorūgščių pakeitim</w:t>
      </w:r>
      <w:r w:rsidR="00E74BFA" w:rsidRPr="00065A2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minėtoje CDR srityje; arba</w:t>
      </w:r>
    </w:p>
    <w:p w14:paraId="75A7BE92" w14:textId="2ADA115F" w:rsidR="006E3C30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(iii) nukleorūgščių sek</w:t>
      </w:r>
      <w:r w:rsidR="00227FAF" w:rsidRPr="00065A20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, koduojan</w:t>
      </w:r>
      <w:r w:rsidR="00227FAF" w:rsidRPr="00065A20">
        <w:rPr>
          <w:rFonts w:ascii="Helvetica" w:eastAsia="Times New Roman" w:hAnsi="Helvetica" w:cs="Arial"/>
          <w:sz w:val="20"/>
          <w:szCs w:val="24"/>
          <w:lang w:eastAsia="lt-LT"/>
        </w:rPr>
        <w:t>čią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antikūno sunkiąją grandinę, apimančią antikūno sunkiosios grandinės kintamą sritį (VH), apimančią CDR1, CDR2 ir CDR3 sritis, </w:t>
      </w:r>
      <w:r w:rsidR="00227FAF" w:rsidRPr="00065A20">
        <w:rPr>
          <w:rFonts w:ascii="Helvetica" w:eastAsia="Times New Roman" w:hAnsi="Helvetica" w:cs="Arial"/>
          <w:sz w:val="20"/>
          <w:szCs w:val="24"/>
          <w:lang w:eastAsia="lt-LT"/>
        </w:rPr>
        <w:t>kurių aminorūgščių sekos yra</w:t>
      </w:r>
      <w:r w:rsidR="006E3C3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SEQ ID Nr. 118 padėtys</w:t>
      </w:r>
      <w:r w:rsidR="00227FAF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45-52, 70-77 ir 116</w:t>
      </w:r>
      <w:r w:rsidR="006E3C30" w:rsidRPr="00065A2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126, atitinkamai; ir nukleorūgščių seką, koduojančią antikūno lengvąją grandinę, apimančią antikūno lengvosios grandinės kintamą sritį (VL), apimančią CDR1, CDR2 ir CDR3 sritis,</w:t>
      </w:r>
      <w:r w:rsidR="006E3C3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kurių aminorūgščių sekos yra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E3C3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SEQ ID Nr. 125 padėtys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47-58, 76-78 ir 115-123, atitinkamai; arba nukleorūgščių seką, koduojančią minėtas antikūnų grandines</w:t>
      </w:r>
      <w:r w:rsidR="006E3C30" w:rsidRPr="00065A20">
        <w:rPr>
          <w:rFonts w:ascii="Helvetica" w:eastAsia="Times New Roman" w:hAnsi="Helvetica" w:cs="Arial"/>
          <w:sz w:val="20"/>
          <w:szCs w:val="24"/>
          <w:lang w:eastAsia="lt-LT"/>
        </w:rPr>
        <w:t>, turinčias iki 5 aminorūgščių pakeitim</w:t>
      </w:r>
      <w:r w:rsidR="00E74BFA" w:rsidRPr="00065A20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="006E3C3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minėtoje CDR srityje;</w:t>
      </w:r>
    </w:p>
    <w:p w14:paraId="523702CC" w14:textId="168A2097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ir</w:t>
      </w:r>
    </w:p>
    <w:p w14:paraId="23731D8F" w14:textId="2367EF0D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(b) antikūno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, kurio raišką vykdo ląstelė-šeimininkė,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išskyrimą ir gryninimą; ir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pasirinktinai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1241BB70" w14:textId="670AFF63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(c) antikūno gebėjimo 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aikint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i ląsteles, 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vykda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nčias CLD18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testavimą, kur minėtas 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sunaikini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mas yra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atliekamas dėka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ADCC arba CDC.</w:t>
      </w:r>
    </w:p>
    <w:p w14:paraId="7EC06BE9" w14:textId="41C4E7CB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0F5152E2" w14:textId="77CE1279" w:rsidR="00302600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95203102"/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>B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ūdas</w:t>
      </w:r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vitro</w:t>
      </w:r>
      <w:proofErr w:type="spellEnd"/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pagal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 1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punktą</w:t>
      </w:r>
      <w:bookmarkEnd w:id="0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, kur ląstelė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šeimininkė yra CHO ląstelė, HEK293 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ląstelė, HEK293T ląstelė arba </w:t>
      </w:r>
      <w:proofErr w:type="spellStart"/>
      <w:r w:rsidR="0013670E" w:rsidRPr="00065A20">
        <w:rPr>
          <w:rFonts w:ascii="Helvetica" w:eastAsia="Times New Roman" w:hAnsi="Helvetica" w:cs="Arial"/>
          <w:sz w:val="20"/>
          <w:szCs w:val="24"/>
          <w:lang w:eastAsia="lt-LT"/>
        </w:rPr>
        <w:t>limfocitinė</w:t>
      </w:r>
      <w:proofErr w:type="spellEnd"/>
      <w:r w:rsidR="0013670E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02600" w:rsidRPr="00065A20">
        <w:rPr>
          <w:rFonts w:ascii="Helvetica" w:eastAsia="Times New Roman" w:hAnsi="Helvetica" w:cs="Arial"/>
          <w:sz w:val="20"/>
          <w:szCs w:val="24"/>
          <w:lang w:eastAsia="lt-LT"/>
        </w:rPr>
        <w:t>ląstelė.</w:t>
      </w:r>
    </w:p>
    <w:p w14:paraId="73FBE355" w14:textId="48C35A17" w:rsidR="00BF0D27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br/>
        <w:t>3. </w:t>
      </w:r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vitro</w:t>
      </w:r>
      <w:proofErr w:type="spellEnd"/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pagal 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1 arba 2</w:t>
      </w:r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punkt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us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kur 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os vektorius apima </w:t>
      </w:r>
      <w:proofErr w:type="spellStart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promotoriaus</w:t>
      </w:r>
      <w:proofErr w:type="spellEnd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seką, </w:t>
      </w:r>
      <w:proofErr w:type="spellStart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lyderi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nę</w:t>
      </w:r>
      <w:proofErr w:type="spellEnd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seką, transliacijos iniciacijos seką, lengvosios grandinės pastovią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ją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sritį, sunkiosios grandinės pastoviąją sritį, 3' netransliuojamą seką, </w:t>
      </w:r>
      <w:proofErr w:type="spellStart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poliadenilinimo</w:t>
      </w:r>
      <w:proofErr w:type="spellEnd"/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seką 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arba transkripcijos </w:t>
      </w:r>
      <w:proofErr w:type="spellStart"/>
      <w:r w:rsidR="005851A3" w:rsidRPr="00065A20">
        <w:rPr>
          <w:rFonts w:ascii="Helvetica" w:eastAsia="Times New Roman" w:hAnsi="Helvetica" w:cs="Arial"/>
          <w:sz w:val="20"/>
          <w:szCs w:val="24"/>
          <w:lang w:eastAsia="lt-LT"/>
        </w:rPr>
        <w:t>terminacijos</w:t>
      </w:r>
      <w:proofErr w:type="spellEnd"/>
      <w:r w:rsidR="005851A3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seką.</w:t>
      </w:r>
    </w:p>
    <w:p w14:paraId="156587C8" w14:textId="7BA1F25F" w:rsidR="00BF0D27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br/>
        <w:t> 4. </w:t>
      </w:r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vitro</w:t>
      </w:r>
      <w:proofErr w:type="spellEnd"/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pagal bet kurį iš 1 </w:t>
      </w:r>
      <w:r w:rsidR="00860D5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-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3</w:t>
      </w:r>
      <w:r w:rsidR="00860D5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punktų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kur kintamos sritys VH ir VL yra 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sujungtos sintetiniais </w:t>
      </w:r>
      <w:r w:rsidR="005851A3" w:rsidRPr="00065A20">
        <w:rPr>
          <w:rFonts w:ascii="Helvetica" w:eastAsia="Times New Roman" w:hAnsi="Helvetica" w:cs="Arial"/>
          <w:sz w:val="20"/>
          <w:szCs w:val="24"/>
          <w:lang w:eastAsia="lt-LT"/>
        </w:rPr>
        <w:t>jungtukais</w:t>
      </w:r>
      <w:r w:rsidR="00BF0D27" w:rsidRPr="00065A2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41955D05" w14:textId="51B26E24" w:rsidR="00F90CF3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br/>
        <w:t>5.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>Būdas</w:t>
      </w:r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in</w:t>
      </w:r>
      <w:proofErr w:type="spellEnd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 xml:space="preserve"> </w:t>
      </w:r>
      <w:proofErr w:type="spellStart"/>
      <w:r w:rsidR="00617E71" w:rsidRPr="00065A20">
        <w:rPr>
          <w:rFonts w:ascii="Helvetica" w:eastAsia="Times New Roman" w:hAnsi="Helvetica" w:cs="Arial"/>
          <w:i/>
          <w:iCs/>
          <w:sz w:val="20"/>
          <w:szCs w:val="24"/>
          <w:lang w:eastAsia="lt-LT"/>
        </w:rPr>
        <w:t>vitro</w:t>
      </w:r>
      <w:proofErr w:type="spellEnd"/>
      <w:r w:rsidR="00617E71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pagal bet kurį iš 1 </w:t>
      </w:r>
      <w:r w:rsidR="00860D5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-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4</w:t>
      </w:r>
      <w:r w:rsidR="00860D5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punktų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kur kintamos sritys VH ir VL yra </w:t>
      </w:r>
      <w:r w:rsidR="00E74BFA" w:rsidRPr="00065A20">
        <w:rPr>
          <w:rFonts w:ascii="Helvetica" w:eastAsia="Times New Roman" w:hAnsi="Helvetica" w:cs="Arial"/>
          <w:sz w:val="20"/>
          <w:szCs w:val="24"/>
          <w:lang w:eastAsia="lt-LT"/>
        </w:rPr>
        <w:t>pri</w:t>
      </w:r>
      <w:r w:rsidR="00F90CF3" w:rsidRPr="00065A20">
        <w:rPr>
          <w:rFonts w:ascii="Helvetica" w:eastAsia="Times New Roman" w:hAnsi="Helvetica" w:cs="Arial"/>
          <w:sz w:val="20"/>
          <w:szCs w:val="24"/>
          <w:lang w:eastAsia="lt-LT"/>
        </w:rPr>
        <w:t>jungtos N arba C</w:t>
      </w:r>
      <w:r w:rsidR="00860D5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90CF3" w:rsidRPr="00065A20">
        <w:rPr>
          <w:rFonts w:ascii="Helvetica" w:eastAsia="Times New Roman" w:hAnsi="Helvetica" w:cs="Arial"/>
          <w:sz w:val="20"/>
          <w:szCs w:val="24"/>
          <w:lang w:eastAsia="lt-LT"/>
        </w:rPr>
        <w:t>galu prie kitų baltymų sekų.</w:t>
      </w:r>
    </w:p>
    <w:p w14:paraId="58C25FB1" w14:textId="68068676" w:rsidR="00B6496C" w:rsidRPr="00065A20" w:rsidRDefault="00B6496C" w:rsidP="00065A20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br/>
        <w:t>6.</w:t>
      </w:r>
      <w:r w:rsidR="005F6A9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Antikūnas prieš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CLD18A2, gautas </w:t>
      </w:r>
      <w:r w:rsidR="005F6A9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būdu pagal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bet kurį iš 1 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-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5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punktų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kur antikūnas </w:t>
      </w:r>
      <w:r w:rsidR="005F6A9A" w:rsidRPr="00065A20">
        <w:rPr>
          <w:rFonts w:ascii="Helvetica" w:eastAsia="Times New Roman" w:hAnsi="Helvetica" w:cs="Arial"/>
          <w:sz w:val="20"/>
          <w:szCs w:val="24"/>
          <w:lang w:eastAsia="lt-LT"/>
        </w:rPr>
        <w:t>rišasi 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CLD18A2, bet ne</w:t>
      </w:r>
      <w:r w:rsidR="005F6A9A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CLD18A1, o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susirišęs su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 tarpininkauja ląstel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ių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vykdančių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CLD18A2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raišką, sunaikinime, 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>kurį atlieka T ląstelės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.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br/>
        <w:t> </w:t>
      </w:r>
    </w:p>
    <w:p w14:paraId="6D383223" w14:textId="18950A12" w:rsidR="00BC7ADB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7. 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Farmacinė kompozicija, apimanti antikūną pagal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6 punktą.</w:t>
      </w:r>
    </w:p>
    <w:p w14:paraId="33DDF4AD" w14:textId="5C5C6375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 </w:t>
      </w:r>
    </w:p>
    <w:p w14:paraId="65004F7C" w14:textId="072A10DB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8. Ląstelė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šeimininkė, apimanti nukleorūgščių sekas, koduojančias antikūną pagal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6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punktą.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br/>
        <w:t> </w:t>
      </w:r>
    </w:p>
    <w:p w14:paraId="57F6428E" w14:textId="36CC72C9" w:rsidR="00B6496C" w:rsidRPr="00065A20" w:rsidRDefault="00B6496C" w:rsidP="00065A20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9. Farmacinė kompozicija pagal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7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punktą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skirt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naudoti terapijoje, pageidautina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 gydym</w:t>
      </w:r>
      <w:r w:rsidR="005B3068" w:rsidRPr="00065A20">
        <w:rPr>
          <w:rFonts w:ascii="Helvetica" w:eastAsia="Times New Roman" w:hAnsi="Helvetica" w:cs="Arial"/>
          <w:sz w:val="20"/>
          <w:szCs w:val="24"/>
          <w:lang w:eastAsia="lt-LT"/>
        </w:rPr>
        <w:t>ui,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 b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s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r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n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č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i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="00A32F75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C7ADB" w:rsidRPr="00065A20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065A20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vėžio ląstelė</w:t>
      </w:r>
      <w:r w:rsidR="001E5522" w:rsidRPr="00065A20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r w:rsidR="005B3068" w:rsidRPr="00065A20">
        <w:rPr>
          <w:rFonts w:ascii="Helvetica" w:eastAsia="Times New Roman" w:hAnsi="Helvetica" w:cs="Arial"/>
          <w:sz w:val="20"/>
          <w:szCs w:val="24"/>
          <w:lang w:eastAsia="lt-LT"/>
        </w:rPr>
        <w:t>vykd</w:t>
      </w:r>
      <w:r w:rsidR="001E5522" w:rsidRPr="00065A20">
        <w:rPr>
          <w:rFonts w:ascii="Helvetica" w:eastAsia="Times New Roman" w:hAnsi="Helvetica" w:cs="Arial"/>
          <w:sz w:val="20"/>
          <w:szCs w:val="24"/>
          <w:lang w:eastAsia="lt-LT"/>
        </w:rPr>
        <w:t>ančiomis</w:t>
      </w:r>
      <w:r w:rsidR="005B306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CLD18A2</w:t>
      </w:r>
      <w:r w:rsidR="005B3068" w:rsidRPr="00065A20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065A20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B6496C" w:rsidRPr="00065A20" w:rsidSect="00065A2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A594" w14:textId="77777777" w:rsidR="0037461C" w:rsidRDefault="0037461C" w:rsidP="00655DB4">
      <w:pPr>
        <w:spacing w:after="0" w:line="240" w:lineRule="auto"/>
      </w:pPr>
      <w:r>
        <w:separator/>
      </w:r>
    </w:p>
  </w:endnote>
  <w:endnote w:type="continuationSeparator" w:id="0">
    <w:p w14:paraId="4C0A21DB" w14:textId="77777777" w:rsidR="0037461C" w:rsidRDefault="0037461C" w:rsidP="0065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94D6" w14:textId="77777777" w:rsidR="0037461C" w:rsidRDefault="0037461C" w:rsidP="00655DB4">
      <w:pPr>
        <w:spacing w:after="0" w:line="240" w:lineRule="auto"/>
      </w:pPr>
      <w:r>
        <w:separator/>
      </w:r>
    </w:p>
  </w:footnote>
  <w:footnote w:type="continuationSeparator" w:id="0">
    <w:p w14:paraId="213F9DFA" w14:textId="77777777" w:rsidR="0037461C" w:rsidRDefault="0037461C" w:rsidP="00655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6C"/>
    <w:rsid w:val="00065A20"/>
    <w:rsid w:val="00083B97"/>
    <w:rsid w:val="0013670E"/>
    <w:rsid w:val="00180327"/>
    <w:rsid w:val="001E5522"/>
    <w:rsid w:val="001E724F"/>
    <w:rsid w:val="00220823"/>
    <w:rsid w:val="00227FAF"/>
    <w:rsid w:val="00302600"/>
    <w:rsid w:val="0037461C"/>
    <w:rsid w:val="005851A3"/>
    <w:rsid w:val="005B3068"/>
    <w:rsid w:val="005F6A9A"/>
    <w:rsid w:val="00603008"/>
    <w:rsid w:val="00617E71"/>
    <w:rsid w:val="00655DB4"/>
    <w:rsid w:val="00673642"/>
    <w:rsid w:val="006B3A67"/>
    <w:rsid w:val="006B62E8"/>
    <w:rsid w:val="006E3C30"/>
    <w:rsid w:val="00742CF9"/>
    <w:rsid w:val="008006AA"/>
    <w:rsid w:val="00860D5A"/>
    <w:rsid w:val="008F38E9"/>
    <w:rsid w:val="00977437"/>
    <w:rsid w:val="00A13F0A"/>
    <w:rsid w:val="00A32F75"/>
    <w:rsid w:val="00A9712F"/>
    <w:rsid w:val="00B5010F"/>
    <w:rsid w:val="00B6496C"/>
    <w:rsid w:val="00BC7ADB"/>
    <w:rsid w:val="00BF0D27"/>
    <w:rsid w:val="00D12028"/>
    <w:rsid w:val="00D27925"/>
    <w:rsid w:val="00D61E49"/>
    <w:rsid w:val="00DB03BA"/>
    <w:rsid w:val="00E74BFA"/>
    <w:rsid w:val="00EA23FA"/>
    <w:rsid w:val="00F01FC8"/>
    <w:rsid w:val="00F26923"/>
    <w:rsid w:val="00F9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ED031"/>
  <w15:chartTrackingRefBased/>
  <w15:docId w15:val="{4524B3A4-7289-4857-BA5D-58AA4A4D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55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DB4"/>
  </w:style>
  <w:style w:type="paragraph" w:styleId="Porat">
    <w:name w:val="footer"/>
    <w:basedOn w:val="prastasis"/>
    <w:link w:val="PoratDiagrama"/>
    <w:uiPriority w:val="99"/>
    <w:unhideWhenUsed/>
    <w:rsid w:val="00655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5DB4"/>
  </w:style>
  <w:style w:type="paragraph" w:styleId="Pataisymai">
    <w:name w:val="Revision"/>
    <w:hidden/>
    <w:uiPriority w:val="99"/>
    <w:semiHidden/>
    <w:rsid w:val="00D27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3449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6</cp:revision>
  <dcterms:created xsi:type="dcterms:W3CDTF">2022-02-10T17:37:00Z</dcterms:created>
  <dcterms:modified xsi:type="dcterms:W3CDTF">2022-02-15T06:53:00Z</dcterms:modified>
</cp:coreProperties>
</file>