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17DF" w14:textId="77777777" w:rsidR="008D3166" w:rsidRPr="00C8466E" w:rsidRDefault="00B70727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1. </w:t>
      </w:r>
      <w:r w:rsidR="008D3166" w:rsidRPr="00C8466E">
        <w:rPr>
          <w:rFonts w:ascii="Helvetica" w:hAnsi="Helvetica" w:cs="Arial"/>
          <w:sz w:val="20"/>
          <w:lang w:val="lt-LT"/>
        </w:rPr>
        <w:t xml:space="preserve">Agentas, kuris blokuoja sąveiką tarp CD47 ir SIRPα, skirtas panaudoti taikant pacientui, sergančiam genetiniu kraujo sutrikimu, </w:t>
      </w:r>
      <w:proofErr w:type="spellStart"/>
      <w:r w:rsidR="008D3166" w:rsidRPr="00C8466E">
        <w:rPr>
          <w:rFonts w:ascii="Helvetica" w:hAnsi="Helvetica" w:cs="Arial"/>
          <w:sz w:val="20"/>
          <w:lang w:val="lt-LT"/>
        </w:rPr>
        <w:t>kraujodaros</w:t>
      </w:r>
      <w:proofErr w:type="spellEnd"/>
      <w:r w:rsidR="008D3166" w:rsidRPr="00C8466E">
        <w:rPr>
          <w:rFonts w:ascii="Helvetica" w:hAnsi="Helvetica" w:cs="Arial"/>
          <w:sz w:val="20"/>
          <w:lang w:val="lt-LT"/>
        </w:rPr>
        <w:t xml:space="preserve"> kamieninių ląstelių įtvirtinimo būdą, kur šis būdas apima:</w:t>
      </w:r>
    </w:p>
    <w:p w14:paraId="3C0DAADE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minėto paciento sąlytį kartu su: </w:t>
      </w:r>
    </w:p>
    <w:p w14:paraId="7360CCDA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(i) agentu, kuris specifiškai rišasi prie endogeninių </w:t>
      </w:r>
      <w:proofErr w:type="spellStart"/>
      <w:r w:rsidRPr="00C8466E">
        <w:rPr>
          <w:rFonts w:ascii="Helvetica" w:hAnsi="Helvetica" w:cs="Arial"/>
          <w:sz w:val="20"/>
          <w:lang w:val="lt-LT"/>
        </w:rPr>
        <w:t>kraujodaros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kamieninių ląstelių kaulų čiulpuose, kur agentas yra </w:t>
      </w:r>
      <w:proofErr w:type="spellStart"/>
      <w:r w:rsidRPr="00C8466E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antikūnas, specifinis CD117 atžvilgiu, ir</w:t>
      </w:r>
    </w:p>
    <w:p w14:paraId="639FCEF7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(ii) agentu, kuris blokuoja sąveiką tarp CD47 ir SIRPα, kur agentas yra pasirinktas iš anti-CD47 antikūno, tirpaus SIRPα </w:t>
      </w:r>
      <w:proofErr w:type="spellStart"/>
      <w:r w:rsidRPr="00C8466E">
        <w:rPr>
          <w:rFonts w:ascii="Helvetica" w:hAnsi="Helvetica" w:cs="Arial"/>
          <w:sz w:val="20"/>
          <w:lang w:val="lt-LT"/>
        </w:rPr>
        <w:t>polipeptido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arba sulieto baltymo, apimančio SIRPα </w:t>
      </w:r>
      <w:proofErr w:type="spellStart"/>
      <w:r w:rsidRPr="00C8466E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C8466E">
        <w:rPr>
          <w:rFonts w:ascii="Helvetica" w:hAnsi="Helvetica" w:cs="Arial"/>
          <w:sz w:val="20"/>
          <w:lang w:val="lt-LT"/>
        </w:rPr>
        <w:t>;</w:t>
      </w:r>
    </w:p>
    <w:p w14:paraId="04D3B8AB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doze, kuri yra veiksminga </w:t>
      </w:r>
      <w:proofErr w:type="spellStart"/>
      <w:r w:rsidRPr="00C8466E">
        <w:rPr>
          <w:rFonts w:ascii="Helvetica" w:hAnsi="Helvetica" w:cs="Arial"/>
          <w:sz w:val="20"/>
          <w:lang w:val="lt-LT"/>
        </w:rPr>
        <w:t>abliacijai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tikslinių endogeninių </w:t>
      </w:r>
      <w:proofErr w:type="spellStart"/>
      <w:r w:rsidRPr="00C8466E">
        <w:rPr>
          <w:rFonts w:ascii="Helvetica" w:hAnsi="Helvetica" w:cs="Arial"/>
          <w:sz w:val="20"/>
          <w:lang w:val="lt-LT"/>
        </w:rPr>
        <w:t>kraujodaros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kamieninių ląstelių iš minėto paciento;</w:t>
      </w:r>
    </w:p>
    <w:p w14:paraId="496030EB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ir normalaus fenotipo </w:t>
      </w:r>
      <w:proofErr w:type="spellStart"/>
      <w:r w:rsidRPr="00C8466E">
        <w:rPr>
          <w:rFonts w:ascii="Helvetica" w:hAnsi="Helvetica" w:cs="Arial"/>
          <w:sz w:val="20"/>
          <w:lang w:val="lt-LT"/>
        </w:rPr>
        <w:t>egzogeninių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8466E">
        <w:rPr>
          <w:rFonts w:ascii="Helvetica" w:hAnsi="Helvetica" w:cs="Arial"/>
          <w:sz w:val="20"/>
          <w:lang w:val="lt-LT"/>
        </w:rPr>
        <w:t>kraujodaros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kamieninių ląstelių įvedimą minėtam pacientui.</w:t>
      </w:r>
    </w:p>
    <w:p w14:paraId="0A417513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C351B3E" w14:textId="77777777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2. Agentas, skirtas panaudoti pagal 1 punktą, kur genetinis kraujo sutrikimas yra </w:t>
      </w:r>
      <w:proofErr w:type="spellStart"/>
      <w:r w:rsidRPr="00C8466E">
        <w:rPr>
          <w:rFonts w:ascii="Helvetica" w:hAnsi="Helvetica" w:cs="Arial"/>
          <w:sz w:val="20"/>
          <w:lang w:val="lt-LT"/>
        </w:rPr>
        <w:t>aplastinė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anemija.</w:t>
      </w:r>
    </w:p>
    <w:p w14:paraId="6C62DBFC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9E30CF" w14:textId="77777777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3. Agentas, skirtas panaudoti pagal 1 punktą, kur genetinis kraujo sutrikimas yra </w:t>
      </w:r>
      <w:proofErr w:type="spellStart"/>
      <w:r w:rsidRPr="00C8466E">
        <w:rPr>
          <w:rFonts w:ascii="Helvetica" w:hAnsi="Helvetica" w:cs="Arial"/>
          <w:sz w:val="20"/>
          <w:lang w:val="lt-LT"/>
        </w:rPr>
        <w:t>pjautuvinių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ląstelių liga.</w:t>
      </w:r>
    </w:p>
    <w:p w14:paraId="7AC33C27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E7A4E5" w14:textId="77777777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4. Agentas, skirtas panaudoti pagal 1 punktą, kur genetinis kraujo sutrikimas yra </w:t>
      </w:r>
      <w:proofErr w:type="spellStart"/>
      <w:r w:rsidRPr="00C8466E">
        <w:rPr>
          <w:rFonts w:ascii="Helvetica" w:hAnsi="Helvetica" w:cs="Arial"/>
          <w:sz w:val="20"/>
          <w:lang w:val="lt-LT"/>
        </w:rPr>
        <w:t>talasemija</w:t>
      </w:r>
      <w:proofErr w:type="spellEnd"/>
      <w:r w:rsidRPr="00C8466E">
        <w:rPr>
          <w:rFonts w:ascii="Helvetica" w:hAnsi="Helvetica" w:cs="Arial"/>
          <w:sz w:val="20"/>
          <w:lang w:val="lt-LT"/>
        </w:rPr>
        <w:t>.</w:t>
      </w:r>
    </w:p>
    <w:p w14:paraId="07ADC16F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E26371" w14:textId="5C2D01F3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>5. Agentas, skirtas panaudoti pagal bet kurį vieną iš 1</w:t>
      </w:r>
      <w:r w:rsidR="00E50708">
        <w:rPr>
          <w:rFonts w:ascii="Helvetica" w:hAnsi="Helvetica" w:cs="Arial"/>
          <w:sz w:val="20"/>
          <w:lang w:val="lt-LT"/>
        </w:rPr>
        <w:t>–</w:t>
      </w:r>
      <w:r w:rsidRPr="00C8466E">
        <w:rPr>
          <w:rFonts w:ascii="Helvetica" w:hAnsi="Helvetica" w:cs="Arial"/>
          <w:sz w:val="20"/>
          <w:lang w:val="lt-LT"/>
        </w:rPr>
        <w:t xml:space="preserve">4 punktų, kur įtvirtinimas yra atliekamas be </w:t>
      </w:r>
      <w:proofErr w:type="spellStart"/>
      <w:r w:rsidRPr="00C8466E">
        <w:rPr>
          <w:rFonts w:ascii="Helvetica" w:hAnsi="Helvetica" w:cs="Arial"/>
          <w:sz w:val="20"/>
          <w:lang w:val="lt-LT"/>
        </w:rPr>
        <w:t>mieloabliacinio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kondicionavimo.</w:t>
      </w:r>
    </w:p>
    <w:p w14:paraId="1B0DAEA9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F23D3E" w14:textId="77777777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6. Agentas, skirtas panaudoti pagal 1 arba 5 punktą, kai priklauso nuo 1 punkto, kur pacientas yra </w:t>
      </w:r>
      <w:proofErr w:type="spellStart"/>
      <w:r w:rsidRPr="00C8466E">
        <w:rPr>
          <w:rFonts w:ascii="Helvetica" w:hAnsi="Helvetica" w:cs="Arial"/>
          <w:sz w:val="20"/>
          <w:lang w:val="lt-LT"/>
        </w:rPr>
        <w:t>imunokompetentingas</w:t>
      </w:r>
      <w:proofErr w:type="spellEnd"/>
      <w:r w:rsidRPr="00C8466E">
        <w:rPr>
          <w:rFonts w:ascii="Helvetica" w:hAnsi="Helvetica" w:cs="Arial"/>
          <w:sz w:val="20"/>
          <w:lang w:val="lt-LT"/>
        </w:rPr>
        <w:t>.</w:t>
      </w:r>
    </w:p>
    <w:p w14:paraId="46246809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B80C7D" w14:textId="254140A4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>7. Agentas, skirtas panaudoti pagal bet kurį vieną iš 1</w:t>
      </w:r>
      <w:r w:rsidR="00E50708">
        <w:rPr>
          <w:rFonts w:ascii="Helvetica" w:hAnsi="Helvetica" w:cs="Arial"/>
          <w:sz w:val="20"/>
          <w:lang w:val="lt-LT"/>
        </w:rPr>
        <w:t>–</w:t>
      </w:r>
      <w:r w:rsidRPr="00C8466E">
        <w:rPr>
          <w:rFonts w:ascii="Helvetica" w:hAnsi="Helvetica" w:cs="Arial"/>
          <w:sz w:val="20"/>
          <w:lang w:val="lt-LT"/>
        </w:rPr>
        <w:t xml:space="preserve">6 punktų, kur minėtos </w:t>
      </w:r>
      <w:proofErr w:type="spellStart"/>
      <w:r w:rsidRPr="00C8466E">
        <w:rPr>
          <w:rFonts w:ascii="Helvetica" w:hAnsi="Helvetica" w:cs="Arial"/>
          <w:sz w:val="20"/>
          <w:lang w:val="lt-LT"/>
        </w:rPr>
        <w:t>egzogeninės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kamieninės ląstelės yra alogeninės kamieninės ląstelės.</w:t>
      </w:r>
    </w:p>
    <w:p w14:paraId="18C414D8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6058A5" w14:textId="2E092577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>8. Agentas, skirtas panaudoti pagal bet kurį vieną iš 1</w:t>
      </w:r>
      <w:r w:rsidR="00E50708">
        <w:rPr>
          <w:rFonts w:ascii="Helvetica" w:hAnsi="Helvetica" w:cs="Arial"/>
          <w:sz w:val="20"/>
          <w:lang w:val="lt-LT"/>
        </w:rPr>
        <w:t>–</w:t>
      </w:r>
      <w:r w:rsidRPr="00C8466E">
        <w:rPr>
          <w:rFonts w:ascii="Helvetica" w:hAnsi="Helvetica" w:cs="Arial"/>
          <w:sz w:val="20"/>
          <w:lang w:val="lt-LT"/>
        </w:rPr>
        <w:t xml:space="preserve">6 punktų, kur </w:t>
      </w:r>
      <w:proofErr w:type="spellStart"/>
      <w:r w:rsidRPr="00C8466E">
        <w:rPr>
          <w:rFonts w:ascii="Helvetica" w:hAnsi="Helvetica" w:cs="Arial"/>
          <w:sz w:val="20"/>
          <w:lang w:val="lt-LT"/>
        </w:rPr>
        <w:t>egzogeninės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kamieninės ląstelės yra genetiškai modifikuotos autologinės kamieninės ląstelės.</w:t>
      </w:r>
    </w:p>
    <w:p w14:paraId="4C3571EE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6095F2" w14:textId="0089486D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>9. Agentas, skirtas panaudoti pagal bet kurį vieną iš 1</w:t>
      </w:r>
      <w:r w:rsidR="00E50708">
        <w:rPr>
          <w:rFonts w:ascii="Helvetica" w:hAnsi="Helvetica" w:cs="Arial"/>
          <w:sz w:val="20"/>
          <w:lang w:val="lt-LT"/>
        </w:rPr>
        <w:t>–</w:t>
      </w:r>
      <w:r w:rsidRPr="00C8466E">
        <w:rPr>
          <w:rFonts w:ascii="Helvetica" w:hAnsi="Helvetica" w:cs="Arial"/>
          <w:sz w:val="20"/>
          <w:lang w:val="lt-LT"/>
        </w:rPr>
        <w:t>8 punktų, kur agentas, kuris blokuoja sąveiką tarp CD47 ir SIRPα, yra anti-CD47 antikūnas.</w:t>
      </w:r>
    </w:p>
    <w:p w14:paraId="496540A0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C6D208D" w14:textId="77777777" w:rsidR="008D3166" w:rsidRPr="00C8466E" w:rsidRDefault="008D3166" w:rsidP="00C8466E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 xml:space="preserve">10. Agentas, skirtas panaudoti pagal 9 punktą, kur antikūnas yra </w:t>
      </w:r>
      <w:proofErr w:type="spellStart"/>
      <w:r w:rsidRPr="00C8466E">
        <w:rPr>
          <w:rFonts w:ascii="Helvetica" w:hAnsi="Helvetica" w:cs="Arial"/>
          <w:sz w:val="20"/>
          <w:lang w:val="lt-LT"/>
        </w:rPr>
        <w:t>bispecifinis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antikūnas.</w:t>
      </w:r>
    </w:p>
    <w:p w14:paraId="1186A6AE" w14:textId="77777777" w:rsidR="008D3166" w:rsidRPr="00C8466E" w:rsidRDefault="008D3166" w:rsidP="00C8466E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48B34" w14:textId="200D68FD" w:rsidR="00864E7D" w:rsidRPr="00C8466E" w:rsidRDefault="008D3166" w:rsidP="00E5070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8466E">
        <w:rPr>
          <w:rFonts w:ascii="Helvetica" w:hAnsi="Helvetica" w:cs="Arial"/>
          <w:sz w:val="20"/>
          <w:lang w:val="lt-LT"/>
        </w:rPr>
        <w:t>11. Agentas, skirtas panaudoti pagal bet kurį vieną iš 1</w:t>
      </w:r>
      <w:r w:rsidR="00E50708">
        <w:rPr>
          <w:rFonts w:ascii="Helvetica" w:hAnsi="Helvetica" w:cs="Arial"/>
          <w:sz w:val="20"/>
          <w:lang w:val="lt-LT"/>
        </w:rPr>
        <w:t>–</w:t>
      </w:r>
      <w:r w:rsidRPr="00C8466E">
        <w:rPr>
          <w:rFonts w:ascii="Helvetica" w:hAnsi="Helvetica" w:cs="Arial"/>
          <w:sz w:val="20"/>
          <w:lang w:val="lt-LT"/>
        </w:rPr>
        <w:t xml:space="preserve">8 punktų, kur agentas, kuris blokuoja sąveiką tarp CD47 ir SIRPα, yra tirpus SIRPα </w:t>
      </w:r>
      <w:proofErr w:type="spellStart"/>
      <w:r w:rsidRPr="00C8466E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C8466E">
        <w:rPr>
          <w:rFonts w:ascii="Helvetica" w:hAnsi="Helvetica" w:cs="Arial"/>
          <w:sz w:val="20"/>
          <w:lang w:val="lt-LT"/>
        </w:rPr>
        <w:t xml:space="preserve"> arba sulietas baltymas, apimantis SIRPα </w:t>
      </w:r>
      <w:proofErr w:type="spellStart"/>
      <w:r w:rsidRPr="00C8466E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C8466E">
        <w:rPr>
          <w:rFonts w:ascii="Helvetica" w:hAnsi="Helvetica" w:cs="Arial"/>
          <w:sz w:val="20"/>
          <w:lang w:val="lt-LT"/>
        </w:rPr>
        <w:t>.</w:t>
      </w:r>
    </w:p>
    <w:sectPr w:rsidR="00864E7D" w:rsidRPr="00C8466E" w:rsidSect="00C8466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6793" w14:textId="77777777" w:rsidR="001D56B8" w:rsidRDefault="001D56B8" w:rsidP="007B0A41">
      <w:pPr>
        <w:spacing w:after="0" w:line="240" w:lineRule="auto"/>
      </w:pPr>
      <w:r>
        <w:separator/>
      </w:r>
    </w:p>
  </w:endnote>
  <w:endnote w:type="continuationSeparator" w:id="0">
    <w:p w14:paraId="71AD02DB" w14:textId="77777777" w:rsidR="001D56B8" w:rsidRDefault="001D56B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E761" w14:textId="77777777" w:rsidR="001D56B8" w:rsidRDefault="001D56B8" w:rsidP="007B0A41">
      <w:pPr>
        <w:spacing w:after="0" w:line="240" w:lineRule="auto"/>
      </w:pPr>
      <w:r>
        <w:separator/>
      </w:r>
    </w:p>
  </w:footnote>
  <w:footnote w:type="continuationSeparator" w:id="0">
    <w:p w14:paraId="08153667" w14:textId="77777777" w:rsidR="001D56B8" w:rsidRDefault="001D56B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D56B8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0640D"/>
    <w:rsid w:val="00412B35"/>
    <w:rsid w:val="00416928"/>
    <w:rsid w:val="00431822"/>
    <w:rsid w:val="00434733"/>
    <w:rsid w:val="00443029"/>
    <w:rsid w:val="0044384C"/>
    <w:rsid w:val="0046418F"/>
    <w:rsid w:val="00473E17"/>
    <w:rsid w:val="004922D2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9374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51CB7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D316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E402B"/>
    <w:rsid w:val="00C1001A"/>
    <w:rsid w:val="00C13EC7"/>
    <w:rsid w:val="00C220FE"/>
    <w:rsid w:val="00C2766E"/>
    <w:rsid w:val="00C30968"/>
    <w:rsid w:val="00C636DD"/>
    <w:rsid w:val="00C67C57"/>
    <w:rsid w:val="00C72847"/>
    <w:rsid w:val="00C73E71"/>
    <w:rsid w:val="00C8466E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50708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89B85A52-ECC1-4A6C-8952-E2B4E9E4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1835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3</cp:revision>
  <dcterms:created xsi:type="dcterms:W3CDTF">2025-04-22T11:36:00Z</dcterms:created>
  <dcterms:modified xsi:type="dcterms:W3CDTF">2025-04-30T06:36:00Z</dcterms:modified>
</cp:coreProperties>
</file>