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9B7A" w14:textId="77777777" w:rsidR="00604FED" w:rsidRPr="00C3050A" w:rsidRDefault="00BA2E9F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604FED"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tirpalas, apimantis: </w:t>
      </w:r>
    </w:p>
    <w:p w14:paraId="082DD77C" w14:textId="626DD967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(a) anti-C5 antikūną, kurio koncentracija yra 100 mg/ml, nuo 47,5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fosfatinio buferio, nuo 4,75 % iki 5,25 % sacharozės ir nuo 23,75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61B065FE" w14:textId="00152941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(b) anti-C5 antikūną, nuo 47,5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ini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o buferio, nuo 4,75 % iki 5,25 % sacharozės, nuo 0,0475 % iki 0,0525 %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80 ir nuo 23,75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;</w:t>
      </w:r>
    </w:p>
    <w:p w14:paraId="4745B915" w14:textId="77777777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kur anti-C5 antikūnas apima sunkiosios grandinės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polipeptidą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apimantį aminorūgščių seką, pavaizduotą SEQ ID Nr. 14, ir lengvosios grandinės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polipeptidą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apimantį aminorūgščių seką, pavaizduotą SEQ ID Nr. 11, ir</w:t>
      </w:r>
    </w:p>
    <w:p w14:paraId="58DA457A" w14:textId="6242DCE2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kur tirpalo pH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vertė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yra tarp 7,2 ir 7,6.</w:t>
      </w:r>
    </w:p>
    <w:p w14:paraId="14ADBEA7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7011FF9" w14:textId="5834065A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2.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 pagal 1(a) punktą,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dar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apimantis paviršinio aktyvumo medžiagą, kur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pasirinktinai </w:t>
      </w:r>
      <w:r w:rsidRPr="00C3050A">
        <w:rPr>
          <w:rFonts w:ascii="Helvetica" w:hAnsi="Helvetica" w:cs="Helvetica"/>
          <w:sz w:val="20"/>
          <w:szCs w:val="24"/>
          <w:lang w:val="lt-LT"/>
        </w:rPr>
        <w:t>paviršinio aktyvumo medžiag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yra </w:t>
      </w:r>
      <w:proofErr w:type="spellStart"/>
      <w:r w:rsidR="008B3FF3" w:rsidRPr="00C3050A">
        <w:rPr>
          <w:rFonts w:ascii="Helvetica" w:hAnsi="Helvetica" w:cs="Helvetica"/>
          <w:sz w:val="20"/>
          <w:szCs w:val="24"/>
          <w:lang w:val="lt-LT"/>
        </w:rPr>
        <w:t>polisorbatas</w:t>
      </w:r>
      <w:proofErr w:type="spellEnd"/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80 </w:t>
      </w:r>
      <w:r w:rsidRPr="00C3050A">
        <w:rPr>
          <w:rFonts w:ascii="Helvetica" w:hAnsi="Helvetica" w:cs="Helvetica"/>
          <w:sz w:val="20"/>
          <w:szCs w:val="24"/>
          <w:lang w:val="lt-LT"/>
        </w:rPr>
        <w:t>nuo 0,0475 % iki 0,0525 %.</w:t>
      </w:r>
    </w:p>
    <w:p w14:paraId="21B6FB1E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7C874EB" w14:textId="1DDA275A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3.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1(b) punktą, kur anti-C5 antikūno koncentracija yra 100 mg/ml.</w:t>
      </w:r>
    </w:p>
    <w:p w14:paraId="03244642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745C619" w14:textId="522C7A4E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4.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 pagal bet kurį iš ankstesnių punktų, apimantis 100 mg/ml anti-C5 antikūno, 50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ini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o buferio, 5 % sacharozės ir 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7C2371BA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EB9B141" w14:textId="0A82045E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5.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 pagal bet kurį iš ankstesnių punktų, apimantis 100 mg/ml anti-C5 antikūno, 50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ini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o buferio, 5 % sacharozės, 0,05 %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80 ir 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26013D56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2DDA861" w14:textId="448B4765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6.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ankstesnių punktų, kur anti-C5 antikūnas yra ALXN1210 (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ravulizumabas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).</w:t>
      </w:r>
    </w:p>
    <w:p w14:paraId="369C7F0F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A90F9E" w14:textId="53386F13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7.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ankstesnių punktų, kur tirpalo pH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vertė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yra 7,4.</w:t>
      </w:r>
    </w:p>
    <w:p w14:paraId="5572250E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635596" w14:textId="3709FDBA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8.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ankstesnių punktų, kur:</w:t>
      </w:r>
    </w:p>
    <w:p w14:paraId="29D70AD9" w14:textId="77777777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a) tirpalas yra sterilus;</w:t>
      </w:r>
    </w:p>
    <w:p w14:paraId="39C7F8E1" w14:textId="7F589DF6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b) anti-C5 antikūnas išlieka bent 97 %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monomerinis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laikant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temperatūroje nuo </w:t>
      </w:r>
      <w:r w:rsidRPr="00C3050A">
        <w:rPr>
          <w:rFonts w:ascii="Helvetica" w:hAnsi="Helvetica" w:cs="Helvetica"/>
          <w:sz w:val="20"/>
          <w:szCs w:val="24"/>
          <w:lang w:val="lt-LT"/>
        </w:rPr>
        <w:t>2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°C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C3050A">
        <w:rPr>
          <w:rFonts w:ascii="Helvetica" w:hAnsi="Helvetica" w:cs="Helvetica"/>
          <w:sz w:val="20"/>
          <w:szCs w:val="24"/>
          <w:lang w:val="lt-LT"/>
        </w:rPr>
        <w:t>8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°C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bent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šešis mėnesius arba bent vienerius metus, kaip nustatyta SEC-HPLC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metodu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;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47A3A59B" w14:textId="5D827EDA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c) mažiau nei 2 % arba mažiau nei 1 % anti-C5 antikūno tirpale yra agreguota, kaip nustatyta SEC-HPLC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metodu</w:t>
      </w:r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6A19352C" w14:textId="77777777" w:rsidR="008B3FF3" w:rsidRPr="00C3050A" w:rsidRDefault="008B3FF3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0A90BF" w14:textId="1D299B9B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9.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 pagal bet kurį iš ankstesnių punktų, kur laikant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temperatūroje nuo 2 °C iki 8 °C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 xml:space="preserve">bent šešis mėnesius </w:t>
      </w:r>
      <w:r w:rsidRPr="00C3050A">
        <w:rPr>
          <w:rFonts w:ascii="Helvetica" w:hAnsi="Helvetica" w:cs="Helvetica"/>
          <w:sz w:val="20"/>
          <w:szCs w:val="24"/>
          <w:lang w:val="lt-LT"/>
        </w:rPr>
        <w:t>anti-C5 antikūnas iš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saugo</w:t>
      </w:r>
      <w:r w:rsidRPr="00C3050A">
        <w:rPr>
          <w:rFonts w:ascii="Helvetica" w:hAnsi="Helvetica" w:cs="Helvetica"/>
          <w:sz w:val="20"/>
          <w:szCs w:val="24"/>
          <w:lang w:val="lt-LT"/>
        </w:rPr>
        <w:t>:</w:t>
      </w:r>
    </w:p>
    <w:p w14:paraId="735FB60B" w14:textId="0B201017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a) bent 90 % jo C5 surišimo aktyvumo, lygin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ant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su anti-C5 antikūnu prieš saugojimą;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39D7A8DA" w14:textId="49E6C4FC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bent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95 % jo gebėjimo slopinti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hemolizę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lyginant </w:t>
      </w:r>
      <w:r w:rsidRPr="00C3050A">
        <w:rPr>
          <w:rFonts w:ascii="Helvetica" w:hAnsi="Helvetica" w:cs="Helvetica"/>
          <w:sz w:val="20"/>
          <w:szCs w:val="24"/>
          <w:lang w:val="lt-LT"/>
        </w:rPr>
        <w:t>su anti-C5 antikūnu prieš saugojimą.</w:t>
      </w:r>
    </w:p>
    <w:p w14:paraId="4A6F3FD7" w14:textId="77777777" w:rsidR="00AE6164" w:rsidRPr="00C3050A" w:rsidRDefault="00AE6164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B73625E" w14:textId="426C5A36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10.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ankstesnių punktų, kur tirpalas yra tinkamas įvedimui po oda arba į veną.</w:t>
      </w:r>
    </w:p>
    <w:p w14:paraId="5943CE54" w14:textId="77777777" w:rsidR="00AE6164" w:rsidRPr="00C3050A" w:rsidRDefault="00AE6164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8042EA9" w14:textId="1AC805C0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11.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ankstesnių punktų, kur tirpalas yra farmacinė kompozicija, kur anti-C5 antikūnas yra ALXN1210 (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ravulizumabas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), ir kur tirpalas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pateikiamas kaip </w:t>
      </w:r>
      <w:r w:rsidRPr="00C3050A">
        <w:rPr>
          <w:rFonts w:ascii="Helvetica" w:hAnsi="Helvetica" w:cs="Helvetica"/>
          <w:sz w:val="20"/>
          <w:szCs w:val="24"/>
          <w:lang w:val="lt-LT"/>
        </w:rPr>
        <w:lastRenderedPageBreak/>
        <w:t>sterilus, be konservantų vandeninis tirpalas 2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m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l talpos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vienos dozės buteliuk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kuriame yra 100 mg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ravulizumabo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kurio koncentracija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yra </w:t>
      </w:r>
      <w:r w:rsidRPr="00C3050A">
        <w:rPr>
          <w:rFonts w:ascii="Helvetica" w:hAnsi="Helvetica" w:cs="Helvetica"/>
          <w:sz w:val="20"/>
          <w:szCs w:val="24"/>
          <w:lang w:val="lt-LT"/>
        </w:rPr>
        <w:t>100 mg/ml, pH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 vertė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7,4.</w:t>
      </w:r>
    </w:p>
    <w:p w14:paraId="1368703D" w14:textId="77777777" w:rsidR="00AE6164" w:rsidRPr="00C3050A" w:rsidRDefault="00AE6164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4C7F6E" w14:textId="2CD7FA64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12.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 Gamybos būdas 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tabilaus koncentruoto antikūno tirpalo, apimančio anti-C5 antikūną, apimantį sunkiosios grandinės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polipeptidą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apimantį aminorūgščių seką, pavaizduotą SEQ ID Nr. 14, ir lengvosios grandinės </w:t>
      </w:r>
      <w:proofErr w:type="spellStart"/>
      <w:r w:rsidR="00AE6164" w:rsidRPr="00C3050A">
        <w:rPr>
          <w:rFonts w:ascii="Helvetica" w:hAnsi="Helvetica" w:cs="Helvetica"/>
          <w:sz w:val="20"/>
          <w:szCs w:val="24"/>
          <w:lang w:val="lt-LT"/>
        </w:rPr>
        <w:t>polipeptidą</w:t>
      </w:r>
      <w:proofErr w:type="spellEnd"/>
      <w:r w:rsidR="00AE6164" w:rsidRPr="00C3050A">
        <w:rPr>
          <w:rFonts w:ascii="Helvetica" w:hAnsi="Helvetica" w:cs="Helvetica"/>
          <w:sz w:val="20"/>
          <w:szCs w:val="24"/>
          <w:lang w:val="lt-LT"/>
        </w:rPr>
        <w:t>, apimantį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aminorūgščių seką, pavaizduotą SEQ ID Nr. 11,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kur jo koncentracija yra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100 mg/ml, nuo 47,5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inis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buferi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nuo 4,75 % iki 5,25 % sacharozė; ir nuo 23,75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kur būdas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apima:</w:t>
      </w:r>
    </w:p>
    <w:p w14:paraId="42C17EDF" w14:textId="1D66225C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i) pirmojo vandeninio tirpalo, apimančio anti-C5 antikūną, pateikimą, 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Pr="00C3050A">
        <w:rPr>
          <w:rFonts w:ascii="Helvetica" w:hAnsi="Helvetica" w:cs="Helvetica"/>
          <w:sz w:val="20"/>
          <w:szCs w:val="24"/>
          <w:lang w:val="lt-LT"/>
        </w:rPr>
        <w:t>pirm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ajame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vandenini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ame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tirpal</w:t>
      </w:r>
      <w:r w:rsidR="00AE6164" w:rsidRPr="00C3050A">
        <w:rPr>
          <w:rFonts w:ascii="Helvetica" w:hAnsi="Helvetica" w:cs="Helvetica"/>
          <w:sz w:val="20"/>
          <w:szCs w:val="24"/>
          <w:lang w:val="lt-LT"/>
        </w:rPr>
        <w:t>e yra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pirm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oji vaisto forma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ir apiman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ti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ne daugiau kaip 10 mg/ml anti-C5 antikūno;</w:t>
      </w:r>
    </w:p>
    <w:p w14:paraId="142CF7AC" w14:textId="78A0C69E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ii) pirmojo vandeninio tirpalo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diafiltravimas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į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vaisto formą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apimančią nuo 47,5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ini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o buferio, nuo 4,75 % iki 5,25 % sacharozės ir nuo 23,75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esant pH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vertei 7,4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tam, kad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iš jo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būtų </w:t>
      </w:r>
      <w:r w:rsidRPr="00C3050A">
        <w:rPr>
          <w:rFonts w:ascii="Helvetica" w:hAnsi="Helvetica" w:cs="Helvetica"/>
          <w:sz w:val="20"/>
          <w:szCs w:val="24"/>
          <w:lang w:val="lt-LT"/>
        </w:rPr>
        <w:t>gaunamas antrasis vandeninis tirpalas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,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kur antr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ajame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vandenini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ame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tirpal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yra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antr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oji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vaisto forma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kaip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diafiltracijos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rezultatas</w:t>
      </w:r>
      <w:r w:rsidRPr="00C3050A">
        <w:rPr>
          <w:rFonts w:ascii="Helvetica" w:hAnsi="Helvetica" w:cs="Helvetica"/>
          <w:sz w:val="20"/>
          <w:szCs w:val="24"/>
          <w:lang w:val="lt-LT"/>
        </w:rPr>
        <w:t>; ir</w:t>
      </w:r>
    </w:p>
    <w:p w14:paraId="1C263FFA" w14:textId="2A0254D9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iii) antrojo vandeninio tirpalo koncentravimą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būtų </w:t>
      </w:r>
      <w:r w:rsidRPr="00C3050A">
        <w:rPr>
          <w:rFonts w:ascii="Helvetica" w:hAnsi="Helvetica" w:cs="Helvetica"/>
          <w:sz w:val="20"/>
          <w:szCs w:val="24"/>
          <w:lang w:val="lt-LT"/>
        </w:rPr>
        <w:t>gaut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as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stabil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us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koncentruot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as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antikūnų tirpal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as</w:t>
      </w:r>
      <w:r w:rsidRPr="00C3050A">
        <w:rPr>
          <w:rFonts w:ascii="Helvetica" w:hAnsi="Helvetica" w:cs="Helvetica"/>
          <w:sz w:val="20"/>
          <w:szCs w:val="24"/>
          <w:lang w:val="lt-LT"/>
        </w:rPr>
        <w:t>, apimant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is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100 mg/ml anti-C5 antikūno, nuo 47,5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fosfat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ini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o buferio, nuo 4,75 % iki 5,25 % sacharozės ir nuo 23,75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iki 26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,25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a</w:t>
      </w:r>
      <w:r w:rsidRPr="00C3050A">
        <w:rPr>
          <w:rFonts w:ascii="Helvetica" w:hAnsi="Helvetica" w:cs="Helvetica"/>
          <w:sz w:val="20"/>
          <w:szCs w:val="24"/>
          <w:lang w:val="lt-LT"/>
        </w:rPr>
        <w:t>rginin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14A78698" w14:textId="77777777" w:rsidR="00B43499" w:rsidRPr="00C3050A" w:rsidRDefault="00B43499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FE08237" w14:textId="7E901DFE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13.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Būdas pagal 12 punktą, kur stabilus koncentruotas antikūn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tirpalas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dar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apima nuo 0,0475 % iki 0,0525 %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80,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ir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būdas apima:</w:t>
      </w:r>
    </w:p>
    <w:p w14:paraId="72F047C7" w14:textId="2B276911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>pirmojo vandeninio tirpalo, apimančio anti-C5 antikūną, pateikimą, kur pirmajame vandeniniame tirpale yra pirmoji vaisto forma ir apimanti ne daugiau kaip 10 mg/ml anti-C5 antikūno;</w:t>
      </w:r>
    </w:p>
    <w:p w14:paraId="46D90262" w14:textId="571803A4" w:rsidR="00B43499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ii) 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pirmojo vandeninio tirpalo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diafiltravimas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į vaisto formą, apimančią nuo 47,5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fosfatinio buferio, nuo 4,75 % iki 5,25 % sacharozės, nuo 23,75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nuo 0,0475 % iki 0,0525 %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80</w:t>
      </w:r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, esant pH vertei 7,4, tam, kad iš jo būtų gaunamas antrasis vandeninis tirpalas, kur antrajame vandeniniame tirpale yra antroji vaisto forma kaip </w:t>
      </w:r>
      <w:proofErr w:type="spellStart"/>
      <w:r w:rsidR="00B43499" w:rsidRPr="00C3050A">
        <w:rPr>
          <w:rFonts w:ascii="Helvetica" w:hAnsi="Helvetica" w:cs="Helvetica"/>
          <w:sz w:val="20"/>
          <w:szCs w:val="24"/>
          <w:lang w:val="lt-LT"/>
        </w:rPr>
        <w:t>diafiltracijos</w:t>
      </w:r>
      <w:proofErr w:type="spellEnd"/>
      <w:r w:rsidR="00B43499" w:rsidRPr="00C3050A">
        <w:rPr>
          <w:rFonts w:ascii="Helvetica" w:hAnsi="Helvetica" w:cs="Helvetica"/>
          <w:sz w:val="20"/>
          <w:szCs w:val="24"/>
          <w:lang w:val="lt-LT"/>
        </w:rPr>
        <w:t xml:space="preserve"> rezultatas; ir</w:t>
      </w:r>
    </w:p>
    <w:p w14:paraId="6DBF6768" w14:textId="58646D98" w:rsidR="00604FED" w:rsidRPr="00C3050A" w:rsidRDefault="00604FED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 xml:space="preserve">iii) 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antrojo vandeninio tirpalo koncentravimą tam, kad būtų gautas stabilus koncentruotas antikūnų tirpalas, apimantis 100 mg/ml anti-C5 antikūno, nuo 47,5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iki 52,5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fosfatinio buferio, nuo 4,75 % iki 5,25 % sacharozės, nuo 23,75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iki 26,25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B513F1" w:rsidRPr="00C3050A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ir nuo 0,0475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% iki 0,0525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%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80.</w:t>
      </w:r>
    </w:p>
    <w:p w14:paraId="22807D5C" w14:textId="77777777" w:rsidR="00B513F1" w:rsidRPr="00C3050A" w:rsidRDefault="00B513F1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B28A6B2" w14:textId="216828DD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14.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 pagal bet kurį iš 1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-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11 punktų, skirtas naudoti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gydymo būdą </w:t>
      </w:r>
      <w:r w:rsidRPr="00C3050A">
        <w:rPr>
          <w:rFonts w:ascii="Helvetica" w:hAnsi="Helvetica" w:cs="Helvetica"/>
          <w:sz w:val="20"/>
          <w:szCs w:val="24"/>
          <w:lang w:val="lt-LT"/>
        </w:rPr>
        <w:t>pacient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ui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su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komplementu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susijusi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a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būkl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e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B3FF3" w:rsidRPr="00C3050A">
        <w:rPr>
          <w:rFonts w:ascii="Helvetica" w:hAnsi="Helvetica" w:cs="Helvetica"/>
          <w:sz w:val="20"/>
          <w:szCs w:val="24"/>
          <w:lang w:val="lt-LT"/>
        </w:rPr>
        <w:t>ir (arba)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pacient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ui su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trombozine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mikroangiopatija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(TMA).</w:t>
      </w:r>
    </w:p>
    <w:p w14:paraId="41CDCC5F" w14:textId="77777777" w:rsidR="00B513F1" w:rsidRPr="00C3050A" w:rsidRDefault="00B513F1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C4D47B2" w14:textId="338CEBFE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15.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tirpalas, skirtas naudoti pagal 14 punktą, kur su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komplementu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susijusi būklė yra parinkta iš grupės, susidedančios iš reumatoidinio artrito,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antifosfolipidinių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antikūnų sindromo, vilkligės nefrito, išemijos-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reperfuzijos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pažeidimo, netipinio hemolizinio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ureminio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sindromo (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aHUS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), tipinės hemolizinės uremijos sindrom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paroksizminė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naktinė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hemoglobinurij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(PNH), tankių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jų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nuosėdų lig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optini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neuromielit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daugiažidininė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motorinė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neuropatij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išsėtinė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sklerozė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>, geltonosios dėmės degeneracij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HELLP sindrom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, spontanišk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vaisiaus netekim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trombozinė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trombocitopeninė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purpur</w:t>
      </w:r>
      <w:r w:rsidR="00B513F1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 xml:space="preserve"> silpnai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imunini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vaskulit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B95D87" w:rsidRPr="00C3050A">
        <w:rPr>
          <w:rFonts w:ascii="Helvetica" w:hAnsi="Helvetica" w:cs="Helvetica"/>
          <w:sz w:val="20"/>
          <w:szCs w:val="24"/>
          <w:lang w:val="lt-LT"/>
        </w:rPr>
        <w:t>pūslinės</w:t>
      </w:r>
      <w:proofErr w:type="spellEnd"/>
      <w:r w:rsidR="00B95D87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B95D87" w:rsidRPr="00C3050A">
        <w:rPr>
          <w:rFonts w:ascii="Helvetica" w:hAnsi="Helvetica" w:cs="Helvetica"/>
          <w:sz w:val="20"/>
          <w:szCs w:val="24"/>
          <w:lang w:val="lt-LT"/>
        </w:rPr>
        <w:t>epidermolizės</w:t>
      </w:r>
      <w:proofErr w:type="spellEnd"/>
      <w:r w:rsidR="00B95D87"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C3050A">
        <w:rPr>
          <w:rFonts w:ascii="Helvetica" w:hAnsi="Helvetica" w:cs="Helvetica"/>
          <w:sz w:val="20"/>
          <w:szCs w:val="24"/>
          <w:lang w:val="lt-LT"/>
        </w:rPr>
        <w:t>pasikartojan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čio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vaisiaus netekimo,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smegenų 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 xml:space="preserve">trauminio </w:t>
      </w:r>
      <w:r w:rsidRPr="00C3050A">
        <w:rPr>
          <w:rFonts w:ascii="Helvetica" w:hAnsi="Helvetica" w:cs="Helvetica"/>
          <w:sz w:val="20"/>
          <w:szCs w:val="24"/>
          <w:lang w:val="lt-LT"/>
        </w:rPr>
        <w:t>pažeidim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miokardit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smegenų kraujotakos sutrikim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, periferinių kraujagyslių sutrikim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inkstų kraujagyslių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mezenterini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/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enterini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kraujagyslių sutrikim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vaskulit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Heno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ko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-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Šion</w:t>
      </w:r>
      <w:r w:rsidRPr="00C3050A">
        <w:rPr>
          <w:rFonts w:ascii="Helvetica" w:hAnsi="Helvetica" w:cs="Helvetica"/>
          <w:sz w:val="20"/>
          <w:szCs w:val="24"/>
          <w:lang w:val="lt-LT"/>
        </w:rPr>
        <w:t>l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a</w:t>
      </w:r>
      <w:r w:rsidRPr="00C3050A">
        <w:rPr>
          <w:rFonts w:ascii="Helvetica" w:hAnsi="Helvetica" w:cs="Helvetica"/>
          <w:sz w:val="20"/>
          <w:szCs w:val="24"/>
          <w:lang w:val="lt-LT"/>
        </w:rPr>
        <w:t>in</w:t>
      </w:r>
      <w:r w:rsidR="00B95D87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FB461E" w:rsidRPr="00C3050A">
        <w:rPr>
          <w:rFonts w:ascii="Helvetica" w:hAnsi="Helvetica" w:cs="Helvetica"/>
          <w:sz w:val="20"/>
          <w:szCs w:val="24"/>
          <w:lang w:val="lt-LT"/>
        </w:rPr>
        <w:t>purpur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su sistemine raudonąja vilklige susij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usio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vaskulit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su reumatoidiniu artritu 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susijusio </w:t>
      </w:r>
      <w:proofErr w:type="spellStart"/>
      <w:r w:rsidR="00070D74" w:rsidRPr="00C3050A">
        <w:rPr>
          <w:rFonts w:ascii="Helvetica" w:hAnsi="Helvetica" w:cs="Helvetica"/>
          <w:sz w:val="20"/>
          <w:szCs w:val="24"/>
          <w:lang w:val="lt-LT"/>
        </w:rPr>
        <w:t>vaskulito</w:t>
      </w:r>
      <w:proofErr w:type="spellEnd"/>
      <w:r w:rsidR="00070D74" w:rsidRPr="00C3050A">
        <w:rPr>
          <w:rFonts w:ascii="Helvetica" w:hAnsi="Helvetica" w:cs="Helvetica"/>
          <w:sz w:val="20"/>
          <w:szCs w:val="24"/>
          <w:lang w:val="lt-LT"/>
        </w:rPr>
        <w:t>,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imuninio komplekso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vaskulit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="00070D74" w:rsidRPr="00C3050A">
        <w:rPr>
          <w:rFonts w:ascii="Helvetica" w:hAnsi="Helvetica" w:cs="Helvetica"/>
          <w:sz w:val="20"/>
          <w:szCs w:val="24"/>
          <w:lang w:val="lt-LT"/>
        </w:rPr>
        <w:t>,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Taka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j</w:t>
      </w:r>
      <w:r w:rsidRPr="00C3050A">
        <w:rPr>
          <w:rFonts w:ascii="Helvetica" w:hAnsi="Helvetica" w:cs="Helvetica"/>
          <w:sz w:val="20"/>
          <w:szCs w:val="24"/>
          <w:lang w:val="lt-LT"/>
        </w:rPr>
        <w:t>asu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lig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išsiplėtusi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kardiomiopatij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diabetinė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angiopatij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Ka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v</w:t>
      </w:r>
      <w:r w:rsidRPr="00C3050A">
        <w:rPr>
          <w:rFonts w:ascii="Helvetica" w:hAnsi="Helvetica" w:cs="Helvetica"/>
          <w:sz w:val="20"/>
          <w:szCs w:val="24"/>
          <w:lang w:val="lt-LT"/>
        </w:rPr>
        <w:t>asaki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lig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venų duj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inės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lastRenderedPageBreak/>
        <w:t>embolij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restenozė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po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stento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į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statymo</w:t>
      </w:r>
      <w:r w:rsidRPr="00C3050A">
        <w:rPr>
          <w:rFonts w:ascii="Helvetica" w:hAnsi="Helvetica" w:cs="Helvetica"/>
          <w:sz w:val="20"/>
          <w:szCs w:val="24"/>
          <w:lang w:val="lt-LT"/>
        </w:rPr>
        <w:t>, rotacinė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aterektomij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perkutaninė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transluminal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inės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vainikinių arterijų angioplastik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sunkiosios </w:t>
      </w:r>
      <w:proofErr w:type="spellStart"/>
      <w:r w:rsidR="00070D74" w:rsidRPr="00C3050A">
        <w:rPr>
          <w:rFonts w:ascii="Helvetica" w:hAnsi="Helvetica" w:cs="Helvetica"/>
          <w:sz w:val="20"/>
          <w:szCs w:val="24"/>
          <w:lang w:val="lt-LT"/>
        </w:rPr>
        <w:t>miastenijos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šalčio agliutinin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ų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lig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dermatomiozit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paroksizminė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 šalčio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hemoglobin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urijos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70D74" w:rsidRPr="00C3050A">
        <w:rPr>
          <w:rFonts w:ascii="Helvetica" w:hAnsi="Helvetica" w:cs="Helvetica"/>
          <w:sz w:val="20"/>
          <w:szCs w:val="24"/>
          <w:lang w:val="lt-LT"/>
        </w:rPr>
        <w:t>antifosfolipidinio</w:t>
      </w:r>
      <w:proofErr w:type="spellEnd"/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 sindromo, </w:t>
      </w:r>
      <w:proofErr w:type="spellStart"/>
      <w:r w:rsidR="00070D74" w:rsidRPr="00C3050A">
        <w:rPr>
          <w:rFonts w:ascii="Helvetica" w:hAnsi="Helvetica" w:cs="Helvetica"/>
          <w:sz w:val="20"/>
          <w:szCs w:val="24"/>
          <w:lang w:val="lt-LT"/>
        </w:rPr>
        <w:t>Greivso</w:t>
      </w:r>
      <w:proofErr w:type="spellEnd"/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 ligos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 xml:space="preserve">aterosklerozės, </w:t>
      </w:r>
      <w:r w:rsidRPr="00C3050A">
        <w:rPr>
          <w:rFonts w:ascii="Helvetica" w:hAnsi="Helvetica" w:cs="Helvetica"/>
          <w:sz w:val="20"/>
          <w:szCs w:val="24"/>
          <w:lang w:val="lt-LT"/>
        </w:rPr>
        <w:t>Alzheimerio lig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>, sistemini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uždegimini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atsak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sepsi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, septini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šok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, nugaros smegenų pažeidim</w:t>
      </w:r>
      <w:r w:rsidR="00070D74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glomerulonefrit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transplantato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atmetimo,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Ha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š</w:t>
      </w:r>
      <w:r w:rsidRPr="00C3050A">
        <w:rPr>
          <w:rFonts w:ascii="Helvetica" w:hAnsi="Helvetica" w:cs="Helvetica"/>
          <w:sz w:val="20"/>
          <w:szCs w:val="24"/>
          <w:lang w:val="lt-LT"/>
        </w:rPr>
        <w:t>imoto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tiroidit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I tipo diabet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</w:t>
      </w:r>
      <w:r w:rsidRPr="00C3050A">
        <w:rPr>
          <w:rFonts w:ascii="Helvetica" w:hAnsi="Helvetica" w:cs="Helvetica"/>
          <w:sz w:val="20"/>
          <w:szCs w:val="24"/>
          <w:lang w:val="lt-LT"/>
        </w:rPr>
        <w:t>, psoriazė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20360" w:rsidRPr="00C3050A">
        <w:rPr>
          <w:rFonts w:ascii="Helvetica" w:hAnsi="Helvetica" w:cs="Helvetica"/>
          <w:sz w:val="20"/>
          <w:szCs w:val="24"/>
          <w:lang w:val="lt-LT"/>
        </w:rPr>
        <w:t>pūslinės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, autoimuninė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hemolizinė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anemij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oss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, idiopatinė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trombocitopeninė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purpur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G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u</w:t>
      </w:r>
      <w:r w:rsidRPr="00C3050A">
        <w:rPr>
          <w:rFonts w:ascii="Helvetica" w:hAnsi="Helvetica" w:cs="Helvetica"/>
          <w:sz w:val="20"/>
          <w:szCs w:val="24"/>
          <w:lang w:val="lt-LT"/>
        </w:rPr>
        <w:t>dpas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čerio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lig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De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gos</w:t>
      </w:r>
      <w:proofErr w:type="spellEnd"/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ligos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katastrofinio </w:t>
      </w:r>
      <w:proofErr w:type="spellStart"/>
      <w:r w:rsidR="00320360" w:rsidRPr="00C3050A">
        <w:rPr>
          <w:rFonts w:ascii="Helvetica" w:hAnsi="Helvetica" w:cs="Helvetica"/>
          <w:sz w:val="20"/>
          <w:szCs w:val="24"/>
          <w:lang w:val="lt-LT"/>
        </w:rPr>
        <w:t>antifosfolipidinio</w:t>
      </w:r>
      <w:proofErr w:type="spellEnd"/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sindromo</w:t>
      </w:r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60F18BEA" w14:textId="77777777" w:rsidR="00320360" w:rsidRPr="00C3050A" w:rsidRDefault="00320360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83FC84" w14:textId="0BC5E676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16.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tirpalas, skirtas naudoti pagal 15 punktą, kur su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komplementu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susijusi būklė yra netipinis hemolizinis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ureminis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sindromas (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aHUS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) arba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paroksizminė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naktinė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hemoglobinurija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(PNH).</w:t>
      </w:r>
    </w:p>
    <w:p w14:paraId="6A2A19C9" w14:textId="77777777" w:rsidR="00320360" w:rsidRPr="00C3050A" w:rsidRDefault="00320360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A4F0F8" w14:textId="438DB7F8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17.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Stabilus vandeninis tirpalas, skirtas naudoti pagal 15 punktą, kur su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komplementu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susijusi būklė yra katastrofinis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antifosfolipidinis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 xml:space="preserve"> sindromas, vilkligė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nefritas arba </w:t>
      </w:r>
      <w:proofErr w:type="spellStart"/>
      <w:r w:rsidRPr="00C3050A">
        <w:rPr>
          <w:rFonts w:ascii="Helvetica" w:hAnsi="Helvetica" w:cs="Helvetica"/>
          <w:sz w:val="20"/>
          <w:szCs w:val="24"/>
          <w:lang w:val="lt-LT"/>
        </w:rPr>
        <w:t>glomerulonefritas</w:t>
      </w:r>
      <w:proofErr w:type="spellEnd"/>
      <w:r w:rsidRPr="00C3050A">
        <w:rPr>
          <w:rFonts w:ascii="Helvetica" w:hAnsi="Helvetica" w:cs="Helvetica"/>
          <w:sz w:val="20"/>
          <w:szCs w:val="24"/>
          <w:lang w:val="lt-LT"/>
        </w:rPr>
        <w:t>.</w:t>
      </w:r>
    </w:p>
    <w:p w14:paraId="1CBA4229" w14:textId="77777777" w:rsidR="00320360" w:rsidRPr="00C3050A" w:rsidRDefault="00320360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5843CD6" w14:textId="30FEBC80" w:rsidR="00604FED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18.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Stabilus vandeninis tirpalas, skirtas naudoti pagal bet kurį iš 13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-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17 punktų, kur stabilus vandeninis tirpalas yra 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įvedamas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pacientui po oda arba į veną.</w:t>
      </w:r>
    </w:p>
    <w:p w14:paraId="038F4139" w14:textId="77777777" w:rsidR="00320360" w:rsidRPr="00C3050A" w:rsidRDefault="00320360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D54D7D" w14:textId="00A0EE57" w:rsidR="003D0FEF" w:rsidRPr="00C3050A" w:rsidRDefault="00604FED" w:rsidP="00C3050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C3050A">
        <w:rPr>
          <w:rFonts w:ascii="Helvetica" w:hAnsi="Helvetica" w:cs="Helvetica"/>
          <w:sz w:val="20"/>
          <w:szCs w:val="24"/>
          <w:lang w:val="lt-LT"/>
        </w:rPr>
        <w:t>19.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Terapinis rinkinys, apimantis: (i) stabilų vandeninį tirpalą pagal bet kurį iš 1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>-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11 punktų ir (ii) priemones, skirtas stabiliam vandeniniam tirpalui </w:t>
      </w:r>
      <w:r w:rsidR="00320360" w:rsidRPr="00C3050A">
        <w:rPr>
          <w:rFonts w:ascii="Helvetica" w:hAnsi="Helvetica" w:cs="Helvetica"/>
          <w:sz w:val="20"/>
          <w:szCs w:val="24"/>
          <w:lang w:val="lt-LT"/>
        </w:rPr>
        <w:t>pateikti</w:t>
      </w:r>
      <w:r w:rsidRPr="00C3050A">
        <w:rPr>
          <w:rFonts w:ascii="Helvetica" w:hAnsi="Helvetica" w:cs="Helvetica"/>
          <w:sz w:val="20"/>
          <w:szCs w:val="24"/>
          <w:lang w:val="lt-LT"/>
        </w:rPr>
        <w:t xml:space="preserve"> žmogui, kur pasirinktinai priemonė yra švirkštas.</w:t>
      </w:r>
    </w:p>
    <w:p w14:paraId="0AE488BE" w14:textId="77777777" w:rsidR="003D0FEF" w:rsidRPr="00C3050A" w:rsidRDefault="003D0FEF" w:rsidP="00C3050A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C3050A" w:rsidSect="00C3050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5F90" w14:textId="77777777" w:rsidR="00CE06B5" w:rsidRDefault="00CE06B5" w:rsidP="007B0A41">
      <w:pPr>
        <w:spacing w:after="0" w:line="240" w:lineRule="auto"/>
      </w:pPr>
      <w:r>
        <w:separator/>
      </w:r>
    </w:p>
  </w:endnote>
  <w:endnote w:type="continuationSeparator" w:id="0">
    <w:p w14:paraId="00449B5F" w14:textId="77777777" w:rsidR="00CE06B5" w:rsidRDefault="00CE06B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2017" w14:textId="77777777" w:rsidR="00CE06B5" w:rsidRDefault="00CE06B5" w:rsidP="007B0A41">
      <w:pPr>
        <w:spacing w:after="0" w:line="240" w:lineRule="auto"/>
      </w:pPr>
      <w:r>
        <w:separator/>
      </w:r>
    </w:p>
  </w:footnote>
  <w:footnote w:type="continuationSeparator" w:id="0">
    <w:p w14:paraId="325E249C" w14:textId="77777777" w:rsidR="00CE06B5" w:rsidRDefault="00CE06B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74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20360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26FF8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04FED"/>
    <w:rsid w:val="00617E21"/>
    <w:rsid w:val="00620797"/>
    <w:rsid w:val="006375BB"/>
    <w:rsid w:val="00675FB8"/>
    <w:rsid w:val="00683EAE"/>
    <w:rsid w:val="006A20BA"/>
    <w:rsid w:val="006A5176"/>
    <w:rsid w:val="006B1A30"/>
    <w:rsid w:val="006B2D83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723E5"/>
    <w:rsid w:val="00886FF4"/>
    <w:rsid w:val="008A7B6E"/>
    <w:rsid w:val="008B3FF3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AE6164"/>
    <w:rsid w:val="00B226B6"/>
    <w:rsid w:val="00B347CF"/>
    <w:rsid w:val="00B43499"/>
    <w:rsid w:val="00B456BD"/>
    <w:rsid w:val="00B513F1"/>
    <w:rsid w:val="00B60A59"/>
    <w:rsid w:val="00B6516C"/>
    <w:rsid w:val="00B67649"/>
    <w:rsid w:val="00B70727"/>
    <w:rsid w:val="00B81287"/>
    <w:rsid w:val="00B81AB2"/>
    <w:rsid w:val="00B86C5A"/>
    <w:rsid w:val="00B95D87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50A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6B5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461E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6747</Characters>
  <Application>Microsoft Office Word</Application>
  <DocSecurity>0</DocSecurity>
  <Lines>114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2023-11-06T17:28:00Z</dcterms:created>
  <dcterms:modified xsi:type="dcterms:W3CDTF">2023-11-13T14:06:00Z</dcterms:modified>
</cp:coreProperties>
</file>