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44FE" w14:textId="442794F4" w:rsidR="00F129D2" w:rsidRPr="00635A91" w:rsidRDefault="00F129D2" w:rsidP="00635A9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</w:rPr>
        <w:t>1.</w:t>
      </w:r>
      <w:r w:rsidR="00A87D37" w:rsidRPr="00635A91">
        <w:rPr>
          <w:rFonts w:ascii="Helvetica" w:hAnsi="Helvetica" w:cs="Helvetica"/>
          <w:bCs/>
          <w:color w:val="000000"/>
          <w:kern w:val="0"/>
          <w:sz w:val="20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Farmacinė kompozicija, kurią sudaro</w:t>
      </w:r>
    </w:p>
    <w:p w14:paraId="4F52C60C" w14:textId="5627201F" w:rsidR="00F129D2" w:rsidRPr="00635A91" w:rsidRDefault="00F129D2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</w:rPr>
        <w:t xml:space="preserve">antikūnas prieš beta </w:t>
      </w:r>
      <w:proofErr w:type="spellStart"/>
      <w:r w:rsidRPr="00635A91">
        <w:rPr>
          <w:rFonts w:ascii="Helvetica" w:hAnsi="Helvetica" w:cs="Helvetica"/>
          <w:bCs/>
          <w:color w:val="000000"/>
          <w:kern w:val="0"/>
          <w:sz w:val="20"/>
        </w:rPr>
        <w:t>amiloidą</w:t>
      </w:r>
      <w:proofErr w:type="spellEnd"/>
      <w:r w:rsidRPr="00635A91">
        <w:rPr>
          <w:rFonts w:ascii="Helvetica" w:hAnsi="Helvetica" w:cs="Helvetica"/>
          <w:bCs/>
          <w:color w:val="000000"/>
          <w:kern w:val="0"/>
          <w:sz w:val="20"/>
        </w:rPr>
        <w:t xml:space="preserve"> (Aβ), kurio koncentracija yra nuo 75</w:t>
      </w:r>
      <w:r w:rsidR="00AA4249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 </w:t>
      </w:r>
      <w:r w:rsidRPr="00635A91">
        <w:rPr>
          <w:rFonts w:ascii="Helvetica" w:hAnsi="Helvetica" w:cs="Helvetica"/>
          <w:bCs/>
          <w:color w:val="000000"/>
          <w:kern w:val="0"/>
          <w:sz w:val="20"/>
        </w:rPr>
        <w:t>mg/ml iki 225</w:t>
      </w:r>
      <w:r w:rsidR="00AA4249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 </w:t>
      </w:r>
      <w:r w:rsidRPr="00635A91">
        <w:rPr>
          <w:rFonts w:ascii="Helvetica" w:hAnsi="Helvetica" w:cs="Helvetica"/>
          <w:bCs/>
          <w:color w:val="000000"/>
          <w:kern w:val="0"/>
          <w:sz w:val="20"/>
        </w:rPr>
        <w:t>mg/ml;</w:t>
      </w:r>
    </w:p>
    <w:p w14:paraId="3584AB47" w14:textId="77777777" w:rsidR="00F129D2" w:rsidRPr="00635A91" w:rsidRDefault="00F129D2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proofErr w:type="spellStart"/>
      <w:r w:rsidRPr="00635A91">
        <w:rPr>
          <w:rFonts w:ascii="Helvetica" w:hAnsi="Helvetica" w:cs="Helvetica"/>
          <w:bCs/>
          <w:color w:val="000000"/>
          <w:kern w:val="0"/>
          <w:sz w:val="20"/>
        </w:rPr>
        <w:t>arginino</w:t>
      </w:r>
      <w:proofErr w:type="spellEnd"/>
      <w:r w:rsidRPr="00635A91">
        <w:rPr>
          <w:rFonts w:ascii="Helvetica" w:hAnsi="Helvetica" w:cs="Helvetica"/>
          <w:bCs/>
          <w:color w:val="000000"/>
          <w:kern w:val="0"/>
          <w:sz w:val="20"/>
        </w:rPr>
        <w:t xml:space="preserve"> hidrochloridas (</w:t>
      </w:r>
      <w:proofErr w:type="spellStart"/>
      <w:r w:rsidRPr="00635A91">
        <w:rPr>
          <w:rFonts w:ascii="Helvetica" w:hAnsi="Helvetica" w:cs="Helvetica"/>
          <w:bCs/>
          <w:color w:val="000000"/>
          <w:kern w:val="0"/>
          <w:sz w:val="20"/>
        </w:rPr>
        <w:t>Arg.HCl</w:t>
      </w:r>
      <w:proofErr w:type="spellEnd"/>
      <w:r w:rsidRPr="00635A91">
        <w:rPr>
          <w:rFonts w:ascii="Helvetica" w:hAnsi="Helvetica" w:cs="Helvetica"/>
          <w:bCs/>
          <w:color w:val="000000"/>
          <w:kern w:val="0"/>
          <w:sz w:val="20"/>
        </w:rPr>
        <w:t xml:space="preserve">), kurio koncentracija yra 150 </w:t>
      </w:r>
      <w:proofErr w:type="spellStart"/>
      <w:r w:rsidRPr="00635A91">
        <w:rPr>
          <w:rFonts w:ascii="Helvetica" w:hAnsi="Helvetica" w:cs="Helvetica"/>
          <w:bCs/>
          <w:color w:val="000000"/>
          <w:kern w:val="0"/>
          <w:sz w:val="20"/>
        </w:rPr>
        <w:t>mM</w:t>
      </w:r>
      <w:proofErr w:type="spellEnd"/>
      <w:r w:rsidRPr="00635A91">
        <w:rPr>
          <w:rFonts w:ascii="Helvetica" w:hAnsi="Helvetica" w:cs="Helvetica"/>
          <w:bCs/>
          <w:color w:val="000000"/>
          <w:kern w:val="0"/>
          <w:sz w:val="20"/>
        </w:rPr>
        <w:t>;</w:t>
      </w:r>
    </w:p>
    <w:p w14:paraId="3DAB925E" w14:textId="7402130F" w:rsidR="00F129D2" w:rsidRPr="00635A91" w:rsidRDefault="00F129D2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proofErr w:type="spellStart"/>
      <w:r w:rsidRPr="00635A91">
        <w:rPr>
          <w:rFonts w:ascii="Helvetica" w:hAnsi="Helvetica" w:cs="Helvetica"/>
          <w:bCs/>
          <w:color w:val="000000"/>
          <w:kern w:val="0"/>
          <w:sz w:val="20"/>
        </w:rPr>
        <w:t>metioninas</w:t>
      </w:r>
      <w:proofErr w:type="spellEnd"/>
      <w:r w:rsidRPr="00635A91">
        <w:rPr>
          <w:rFonts w:ascii="Helvetica" w:hAnsi="Helvetica" w:cs="Helvetica"/>
          <w:bCs/>
          <w:color w:val="000000"/>
          <w:kern w:val="0"/>
          <w:sz w:val="20"/>
        </w:rPr>
        <w:t>, kurio koncentracija yra 10</w:t>
      </w:r>
      <w:r w:rsidR="00AA4249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 </w:t>
      </w:r>
      <w:proofErr w:type="spellStart"/>
      <w:r w:rsidRPr="00635A91">
        <w:rPr>
          <w:rFonts w:ascii="Helvetica" w:hAnsi="Helvetica" w:cs="Helvetica"/>
          <w:bCs/>
          <w:color w:val="000000"/>
          <w:kern w:val="0"/>
          <w:sz w:val="20"/>
        </w:rPr>
        <w:t>mM</w:t>
      </w:r>
      <w:proofErr w:type="spellEnd"/>
      <w:r w:rsidRPr="00635A91">
        <w:rPr>
          <w:rFonts w:ascii="Helvetica" w:hAnsi="Helvetica" w:cs="Helvetica"/>
          <w:bCs/>
          <w:color w:val="000000"/>
          <w:kern w:val="0"/>
          <w:sz w:val="20"/>
        </w:rPr>
        <w:t>;</w:t>
      </w:r>
    </w:p>
    <w:p w14:paraId="7A1AF63D" w14:textId="7B16C46A" w:rsidR="00F129D2" w:rsidRPr="00635A91" w:rsidRDefault="00F129D2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proofErr w:type="spellStart"/>
      <w:r w:rsidRPr="00635A91">
        <w:rPr>
          <w:rFonts w:ascii="Helvetica" w:hAnsi="Helvetica" w:cs="Helvetica"/>
          <w:bCs/>
          <w:color w:val="000000"/>
          <w:kern w:val="0"/>
          <w:sz w:val="20"/>
        </w:rPr>
        <w:t>histidinas</w:t>
      </w:r>
      <w:proofErr w:type="spellEnd"/>
      <w:r w:rsidRPr="00635A91">
        <w:rPr>
          <w:rFonts w:ascii="Helvetica" w:hAnsi="Helvetica" w:cs="Helvetica"/>
          <w:bCs/>
          <w:color w:val="000000"/>
          <w:kern w:val="0"/>
          <w:sz w:val="20"/>
        </w:rPr>
        <w:t>, kurio koncentracija yra 20</w:t>
      </w:r>
      <w:r w:rsidR="00AA4249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 </w:t>
      </w:r>
      <w:proofErr w:type="spellStart"/>
      <w:r w:rsidRPr="00635A91">
        <w:rPr>
          <w:rFonts w:ascii="Helvetica" w:hAnsi="Helvetica" w:cs="Helvetica"/>
          <w:bCs/>
          <w:color w:val="000000"/>
          <w:kern w:val="0"/>
          <w:sz w:val="20"/>
        </w:rPr>
        <w:t>mM</w:t>
      </w:r>
      <w:proofErr w:type="spellEnd"/>
      <w:r w:rsidRPr="00635A91">
        <w:rPr>
          <w:rFonts w:ascii="Helvetica" w:hAnsi="Helvetica" w:cs="Helvetica"/>
          <w:bCs/>
          <w:color w:val="000000"/>
          <w:kern w:val="0"/>
          <w:sz w:val="20"/>
        </w:rPr>
        <w:t>; ir</w:t>
      </w:r>
    </w:p>
    <w:p w14:paraId="7765770C" w14:textId="4A57E966" w:rsidR="00F129D2" w:rsidRPr="00635A91" w:rsidRDefault="00F129D2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</w:rPr>
        <w:t>Polisorbatas-80 (PS80), kurio koncentracija yra nuo 0,01</w:t>
      </w:r>
      <w:r w:rsidR="00AA4249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 </w:t>
      </w:r>
      <w:r w:rsidRPr="00635A91">
        <w:rPr>
          <w:rFonts w:ascii="Helvetica" w:hAnsi="Helvetica" w:cs="Helvetica"/>
          <w:bCs/>
          <w:color w:val="000000"/>
          <w:kern w:val="0"/>
          <w:sz w:val="20"/>
        </w:rPr>
        <w:t>% iki 0,1</w:t>
      </w:r>
      <w:r w:rsidR="00AA4249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 </w:t>
      </w:r>
      <w:r w:rsidRPr="00635A91">
        <w:rPr>
          <w:rFonts w:ascii="Helvetica" w:hAnsi="Helvetica" w:cs="Helvetica"/>
          <w:bCs/>
          <w:color w:val="000000"/>
          <w:kern w:val="0"/>
          <w:sz w:val="20"/>
        </w:rPr>
        <w:t>%,</w:t>
      </w:r>
    </w:p>
    <w:p w14:paraId="0A94EEFD" w14:textId="7DE8F75D" w:rsidR="00F129D2" w:rsidRPr="00635A91" w:rsidRDefault="008E432D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b e s i s k i r i a n t i</w:t>
      </w:r>
      <w:r w:rsidR="001C0920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="00F27987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="00F129D2" w:rsidRPr="00635A91">
        <w:rPr>
          <w:rFonts w:ascii="Helvetica" w:hAnsi="Helvetica" w:cs="Helvetica"/>
          <w:bCs/>
          <w:color w:val="000000"/>
          <w:kern w:val="0"/>
          <w:sz w:val="20"/>
        </w:rPr>
        <w:t>tuo, kad farmacinės kompozicijos pH yra nuo 5,2 iki 6,2;</w:t>
      </w:r>
    </w:p>
    <w:p w14:paraId="0EA11B7B" w14:textId="6D66B2C7" w:rsidR="00F129D2" w:rsidRPr="00635A91" w:rsidRDefault="008E432D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b e s i s k i r i a n t i</w:t>
      </w:r>
      <w:r w:rsidR="001C0920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="00F27987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="00F129D2" w:rsidRPr="00635A91">
        <w:rPr>
          <w:rFonts w:ascii="Helvetica" w:hAnsi="Helvetica" w:cs="Helvetica"/>
          <w:bCs/>
          <w:color w:val="000000"/>
          <w:kern w:val="0"/>
          <w:sz w:val="20"/>
        </w:rPr>
        <w:t>tuo, kad antikūną prieš Aβ sudaro imunoglobulino sunkioji grandinė ir imunoglobulino lengvoji grandinė, kai sunkiąją grandinę sudaro SEQ ID NR.:9 nurodyta aminorūgščių seka, o lengvąją grandinę – SEQ ID NR.:10 nurodyta aminorūgščių seka.</w:t>
      </w:r>
    </w:p>
    <w:p w14:paraId="55013557" w14:textId="77777777" w:rsidR="00F129D2" w:rsidRPr="00635A91" w:rsidRDefault="00F129D2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292E88CC" w14:textId="17E57036" w:rsidR="00F129D2" w:rsidRPr="00635A91" w:rsidRDefault="00F129D2" w:rsidP="00635A9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</w:rPr>
        <w:t>2.</w:t>
      </w:r>
      <w:r w:rsidR="00A87D37" w:rsidRPr="00635A91">
        <w:rPr>
          <w:rFonts w:ascii="Helvetica" w:hAnsi="Helvetica" w:cs="Helvetica"/>
          <w:bCs/>
          <w:color w:val="000000"/>
          <w:kern w:val="0"/>
          <w:sz w:val="20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Farmacinė kompozicija pagal 1 punktą, b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e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s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i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s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k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i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r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i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a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n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t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i</w:t>
      </w:r>
      <w:r w:rsidR="001C0920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="00F27987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tuo, kad farmacinę kompoziciją sudaro antikūnas prieš Aβ, kurio koncentracija yra:</w:t>
      </w:r>
    </w:p>
    <w:p w14:paraId="7942CA6E" w14:textId="6E4D2FDC" w:rsidR="00F129D2" w:rsidRPr="00635A91" w:rsidRDefault="00F129D2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</w:rPr>
        <w:t>(i) 175</w:t>
      </w:r>
      <w:r w:rsidR="00AA4249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 </w:t>
      </w:r>
      <w:r w:rsidRPr="00635A91">
        <w:rPr>
          <w:rFonts w:ascii="Helvetica" w:hAnsi="Helvetica" w:cs="Helvetica"/>
          <w:bCs/>
          <w:color w:val="000000"/>
          <w:kern w:val="0"/>
          <w:sz w:val="20"/>
        </w:rPr>
        <w:t>mg/ml;</w:t>
      </w:r>
    </w:p>
    <w:p w14:paraId="125CD360" w14:textId="70DF6A9D" w:rsidR="00F129D2" w:rsidRPr="00635A91" w:rsidRDefault="00F129D2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</w:rPr>
        <w:t>(ii) 150</w:t>
      </w:r>
      <w:r w:rsidR="00AA4249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 </w:t>
      </w:r>
      <w:r w:rsidRPr="00635A91">
        <w:rPr>
          <w:rFonts w:ascii="Helvetica" w:hAnsi="Helvetica" w:cs="Helvetica"/>
          <w:bCs/>
          <w:color w:val="000000"/>
          <w:kern w:val="0"/>
          <w:sz w:val="20"/>
        </w:rPr>
        <w:t>mg/ml arba</w:t>
      </w:r>
    </w:p>
    <w:p w14:paraId="0E25D5A2" w14:textId="08596EC6" w:rsidR="00F129D2" w:rsidRPr="00635A91" w:rsidRDefault="00F129D2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</w:rPr>
        <w:t>(iii) 100</w:t>
      </w:r>
      <w:r w:rsidR="00AA4249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 </w:t>
      </w:r>
      <w:r w:rsidRPr="00635A91">
        <w:rPr>
          <w:rFonts w:ascii="Helvetica" w:hAnsi="Helvetica" w:cs="Helvetica"/>
          <w:bCs/>
          <w:color w:val="000000"/>
          <w:kern w:val="0"/>
          <w:sz w:val="20"/>
        </w:rPr>
        <w:t>mg/ml.</w:t>
      </w:r>
    </w:p>
    <w:p w14:paraId="773CC73D" w14:textId="77777777" w:rsidR="00F129D2" w:rsidRPr="00635A91" w:rsidRDefault="00F129D2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329F8ED8" w14:textId="6FCD003C" w:rsidR="00F129D2" w:rsidRPr="00635A91" w:rsidRDefault="00F129D2" w:rsidP="00635A9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</w:rPr>
        <w:t>3.</w:t>
      </w:r>
      <w:r w:rsidR="00A87D37" w:rsidRPr="00635A91">
        <w:rPr>
          <w:rFonts w:ascii="Helvetica" w:hAnsi="Helvetica" w:cs="Helvetica"/>
          <w:bCs/>
          <w:color w:val="000000"/>
          <w:kern w:val="0"/>
          <w:sz w:val="20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Farmacinė kompozicija pagal 1 arba 2 punktą, b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e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s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i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s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k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i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r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i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a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n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t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i</w:t>
      </w:r>
      <w:r w:rsidR="0037030D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="001C0920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tuo, kad farmacinę kompoziciją sudaro PS80, kurio koncentracija yra nuo 0,03 % iki 0,08 %.</w:t>
      </w:r>
    </w:p>
    <w:p w14:paraId="6785AF1C" w14:textId="611B7B49" w:rsidR="00F129D2" w:rsidRPr="00635A91" w:rsidRDefault="00F129D2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2AC2231A" w14:textId="268EEC2B" w:rsidR="00F129D2" w:rsidRPr="00635A91" w:rsidRDefault="00F129D2" w:rsidP="00635A9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</w:rPr>
        <w:t>4.</w:t>
      </w:r>
      <w:r w:rsidR="00A87D37" w:rsidRPr="00635A91">
        <w:rPr>
          <w:rFonts w:ascii="Helvetica" w:hAnsi="Helvetica" w:cs="Helvetica"/>
          <w:bCs/>
          <w:color w:val="000000"/>
          <w:kern w:val="0"/>
          <w:sz w:val="20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Farmacinė kompozicija pagal 3 punktą, b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e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s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i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s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k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i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r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i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a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n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t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i</w:t>
      </w:r>
      <w:r w:rsidR="0037030D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="001C0920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tuo, kad farmacinę kompoziciją sudaro PS80, kurio koncentracija yra 0,05 %.</w:t>
      </w:r>
    </w:p>
    <w:p w14:paraId="0E9BC00F" w14:textId="64DEF9D6" w:rsidR="00F129D2" w:rsidRPr="00635A91" w:rsidRDefault="00F129D2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6CE6018E" w14:textId="5406F687" w:rsidR="00F129D2" w:rsidRPr="00635A91" w:rsidRDefault="00F129D2" w:rsidP="00635A9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</w:rPr>
        <w:t>5.</w:t>
      </w:r>
      <w:r w:rsidR="00A87D37" w:rsidRPr="00635A91">
        <w:rPr>
          <w:rFonts w:ascii="Helvetica" w:hAnsi="Helvetica" w:cs="Helvetica"/>
          <w:bCs/>
          <w:color w:val="000000"/>
          <w:kern w:val="0"/>
          <w:sz w:val="20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Farmacinė kompozicija pagal bet kurį iš 1–4 punktų, b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e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s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i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s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k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i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r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i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a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n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t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i</w:t>
      </w:r>
      <w:r w:rsidR="001C0920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="0037030D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tuo, kad jos pH yra nuo 5,3 iki 5,7.</w:t>
      </w:r>
    </w:p>
    <w:p w14:paraId="0823AEBC" w14:textId="4887F969" w:rsidR="00F129D2" w:rsidRPr="00635A91" w:rsidRDefault="00F129D2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19C7BECA" w14:textId="2A2C68C5" w:rsidR="00F129D2" w:rsidRPr="00635A91" w:rsidRDefault="00F129D2" w:rsidP="00635A9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</w:rPr>
        <w:t>6.</w:t>
      </w:r>
      <w:r w:rsidR="00A87D37" w:rsidRPr="00635A91">
        <w:rPr>
          <w:rFonts w:ascii="Helvetica" w:hAnsi="Helvetica" w:cs="Helvetica"/>
          <w:bCs/>
          <w:color w:val="000000"/>
          <w:kern w:val="0"/>
          <w:sz w:val="20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Farmacinė kompozicija pagal 5 punktą, 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b e s i s k i r i a n t i</w:t>
      </w:r>
      <w:r w:rsidR="001C0920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="0037030D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tuo, kad farmacinės kompozicijos pH yra nuo 5,5.</w:t>
      </w:r>
    </w:p>
    <w:p w14:paraId="5BF30703" w14:textId="7C1549A5" w:rsidR="00F129D2" w:rsidRPr="00635A91" w:rsidRDefault="00F129D2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1560D815" w14:textId="04BC0B3D" w:rsidR="00F129D2" w:rsidRPr="00635A91" w:rsidRDefault="00F129D2" w:rsidP="00635A9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</w:rPr>
        <w:t>7.</w:t>
      </w:r>
      <w:r w:rsidR="00A87D37" w:rsidRPr="00635A91">
        <w:rPr>
          <w:rFonts w:ascii="Helvetica" w:hAnsi="Helvetica" w:cs="Helvetica"/>
          <w:bCs/>
          <w:color w:val="000000"/>
          <w:kern w:val="0"/>
          <w:sz w:val="20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Farmacinė kompozicija pagal 1 punktą, 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b e s i s k i r i a n t i</w:t>
      </w:r>
      <w:r w:rsidR="001C0920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="0037030D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tuo, kad kompoziciją sudaro</w:t>
      </w:r>
    </w:p>
    <w:p w14:paraId="3F4E56E0" w14:textId="68CEF68C" w:rsidR="00F129D2" w:rsidRPr="00635A91" w:rsidRDefault="00F129D2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</w:rPr>
        <w:t>antikūnas prieš Aβ, kurio koncentracija yra 150</w:t>
      </w:r>
      <w:r w:rsidR="00AA4249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 </w:t>
      </w:r>
      <w:r w:rsidRPr="00635A91">
        <w:rPr>
          <w:rFonts w:ascii="Helvetica" w:hAnsi="Helvetica" w:cs="Helvetica"/>
          <w:bCs/>
          <w:color w:val="000000"/>
          <w:kern w:val="0"/>
          <w:sz w:val="20"/>
        </w:rPr>
        <w:t>mg/ml; ir</w:t>
      </w:r>
    </w:p>
    <w:p w14:paraId="3B67A086" w14:textId="77777777" w:rsidR="00F129D2" w:rsidRPr="00635A91" w:rsidRDefault="00F129D2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</w:rPr>
        <w:t>PS80, kurio koncentracija yra 0,05 %.</w:t>
      </w:r>
    </w:p>
    <w:p w14:paraId="54910E9D" w14:textId="77777777" w:rsidR="00F129D2" w:rsidRPr="00635A91" w:rsidRDefault="00F129D2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5D4708BD" w14:textId="3D07C315" w:rsidR="00F129D2" w:rsidRPr="00635A91" w:rsidRDefault="00F129D2" w:rsidP="00635A9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</w:rPr>
        <w:t>8.</w:t>
      </w:r>
      <w:r w:rsidR="00A87D37" w:rsidRPr="00635A91">
        <w:rPr>
          <w:rFonts w:ascii="Helvetica" w:hAnsi="Helvetica" w:cs="Helvetica"/>
          <w:bCs/>
          <w:color w:val="000000"/>
          <w:kern w:val="0"/>
          <w:sz w:val="20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Farmacinė kompozicija pagal 1 punktą, 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b e s i s k i r i a n t i</w:t>
      </w:r>
      <w:r w:rsidR="001C0920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="0037030D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tuo, kad kompoziciją sudaro</w:t>
      </w:r>
    </w:p>
    <w:p w14:paraId="09272A28" w14:textId="20090088" w:rsidR="00F129D2" w:rsidRPr="00635A91" w:rsidRDefault="00F129D2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</w:rPr>
        <w:t>antikūnas prieš Aβ, kurio koncentracija yra 100</w:t>
      </w:r>
      <w:r w:rsidR="00AA4249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 </w:t>
      </w:r>
      <w:r w:rsidRPr="00635A91">
        <w:rPr>
          <w:rFonts w:ascii="Helvetica" w:hAnsi="Helvetica" w:cs="Helvetica"/>
          <w:bCs/>
          <w:color w:val="000000"/>
          <w:kern w:val="0"/>
          <w:sz w:val="20"/>
        </w:rPr>
        <w:t>mg/ml; ir</w:t>
      </w:r>
    </w:p>
    <w:p w14:paraId="3E88FECC" w14:textId="77777777" w:rsidR="00F129D2" w:rsidRPr="00635A91" w:rsidRDefault="00F129D2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</w:rPr>
        <w:t>PS80, kurio koncentracija yra 0,05 %.</w:t>
      </w:r>
    </w:p>
    <w:p w14:paraId="504BF99A" w14:textId="77777777" w:rsidR="00F129D2" w:rsidRPr="00635A91" w:rsidRDefault="00F129D2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372C1BD2" w14:textId="6DD3BEA3" w:rsidR="00F129D2" w:rsidRPr="00635A91" w:rsidRDefault="00F129D2" w:rsidP="00635A9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</w:rPr>
        <w:t>9.</w:t>
      </w:r>
      <w:r w:rsidR="00A87D37" w:rsidRPr="00635A91">
        <w:rPr>
          <w:rFonts w:ascii="Helvetica" w:hAnsi="Helvetica" w:cs="Helvetica"/>
          <w:bCs/>
          <w:color w:val="000000"/>
          <w:kern w:val="0"/>
          <w:sz w:val="20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Farmacinė kompozicija pagal 7 arba 8 punktą, 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b e s i s k i r i a n t i</w:t>
      </w:r>
      <w:r w:rsidR="0037030D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="001C0920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tuo, kad farmacinės kompozicijos pH yra nuo 5,5.</w:t>
      </w:r>
    </w:p>
    <w:p w14:paraId="2A9B2CB4" w14:textId="0D45B5B3" w:rsidR="00F129D2" w:rsidRPr="00635A91" w:rsidRDefault="00F129D2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12CE38D9" w14:textId="79A6C0F7" w:rsidR="00F129D2" w:rsidRPr="00635A91" w:rsidRDefault="00F129D2" w:rsidP="00635A9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</w:rPr>
        <w:t>10.</w:t>
      </w:r>
      <w:r w:rsidR="00A87D37" w:rsidRPr="00635A91">
        <w:rPr>
          <w:rFonts w:ascii="Helvetica" w:hAnsi="Helvetica" w:cs="Helvetica"/>
          <w:bCs/>
          <w:color w:val="000000"/>
          <w:kern w:val="0"/>
          <w:sz w:val="20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Farmacinė kompozicija pagal bet kurį iš 1–9 punktų, skirta Alzheimerio ligai gydyti žmogui, kuriam to reikia.</w:t>
      </w:r>
    </w:p>
    <w:p w14:paraId="0C985928" w14:textId="77777777" w:rsidR="001C0920" w:rsidRPr="00635A91" w:rsidRDefault="001C0920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051242E7" w14:textId="6F457463" w:rsidR="00E52709" w:rsidRPr="00635A91" w:rsidRDefault="00F129D2" w:rsidP="00635A9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</w:rPr>
        <w:lastRenderedPageBreak/>
        <w:t>11.</w:t>
      </w:r>
      <w:r w:rsidR="000A456A" w:rsidRPr="00635A91">
        <w:rPr>
          <w:rFonts w:ascii="Helvetica" w:hAnsi="Helvetica" w:cs="Helvetica"/>
          <w:bCs/>
          <w:color w:val="000000"/>
          <w:kern w:val="0"/>
          <w:sz w:val="20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Farmacinė kompozicija, skirta panaudoti pagal 10 punktą, 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b e s i s k i r i a n t i</w:t>
      </w:r>
      <w:r w:rsidR="001C0920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="0037030D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tuo, kad farmacinė kompozicija turi būti suleidžiama po oda žmogui.</w:t>
      </w:r>
    </w:p>
    <w:p w14:paraId="350ED71D" w14:textId="77777777" w:rsidR="00E52709" w:rsidRPr="00635A91" w:rsidRDefault="00E52709" w:rsidP="00635A91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35F7935B" w14:textId="568EFFDC" w:rsidR="00F129D2" w:rsidRPr="00635A91" w:rsidRDefault="00F129D2" w:rsidP="00635A91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635A91">
        <w:rPr>
          <w:rFonts w:ascii="Helvetica" w:hAnsi="Helvetica" w:cs="Helvetica"/>
          <w:bCs/>
          <w:color w:val="000000"/>
          <w:kern w:val="0"/>
          <w:sz w:val="20"/>
        </w:rPr>
        <w:t>12.</w:t>
      </w:r>
      <w:r w:rsidR="00A87D37" w:rsidRPr="00635A91">
        <w:rPr>
          <w:rFonts w:ascii="Helvetica" w:hAnsi="Helvetica" w:cs="Helvetica"/>
          <w:bCs/>
          <w:color w:val="000000"/>
          <w:kern w:val="0"/>
          <w:sz w:val="20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Farmacinė kompozicija, skirta panaudoti pagal 10 punktą, </w:t>
      </w:r>
      <w:r w:rsidR="008E432D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b e s i s k i r i a n t i</w:t>
      </w:r>
      <w:r w:rsidR="001C0920"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="0037030D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635A91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tuo, kad farmacinė kompozicija turi būti suleidžiama į veną žmogui.</w:t>
      </w:r>
    </w:p>
    <w:sectPr w:rsidR="00F129D2" w:rsidRPr="00635A91" w:rsidSect="00635A91">
      <w:pgSz w:w="11906" w:h="16838" w:code="1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53C5" w14:textId="77777777" w:rsidR="000F0FBE" w:rsidRDefault="000F0FBE" w:rsidP="000A456A">
      <w:pPr>
        <w:spacing w:after="0" w:line="240" w:lineRule="auto"/>
      </w:pPr>
      <w:r>
        <w:separator/>
      </w:r>
    </w:p>
  </w:endnote>
  <w:endnote w:type="continuationSeparator" w:id="0">
    <w:p w14:paraId="352E00C3" w14:textId="77777777" w:rsidR="000F0FBE" w:rsidRDefault="000F0FBE" w:rsidP="000A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66A8" w14:textId="77777777" w:rsidR="000F0FBE" w:rsidRDefault="000F0FBE" w:rsidP="000A456A">
      <w:pPr>
        <w:spacing w:after="0" w:line="240" w:lineRule="auto"/>
      </w:pPr>
      <w:r>
        <w:separator/>
      </w:r>
    </w:p>
  </w:footnote>
  <w:footnote w:type="continuationSeparator" w:id="0">
    <w:p w14:paraId="32DC2EBA" w14:textId="77777777" w:rsidR="000F0FBE" w:rsidRDefault="000F0FBE" w:rsidP="000A4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C5"/>
    <w:rsid w:val="00082AAC"/>
    <w:rsid w:val="000A456A"/>
    <w:rsid w:val="000F0FBE"/>
    <w:rsid w:val="001504DE"/>
    <w:rsid w:val="001A639B"/>
    <w:rsid w:val="001C0920"/>
    <w:rsid w:val="00273CEF"/>
    <w:rsid w:val="00296215"/>
    <w:rsid w:val="0037030D"/>
    <w:rsid w:val="00571637"/>
    <w:rsid w:val="00635A91"/>
    <w:rsid w:val="006872C5"/>
    <w:rsid w:val="008E432D"/>
    <w:rsid w:val="00935A82"/>
    <w:rsid w:val="00A72E8C"/>
    <w:rsid w:val="00A87D37"/>
    <w:rsid w:val="00AA4249"/>
    <w:rsid w:val="00AF1CC5"/>
    <w:rsid w:val="00E21D19"/>
    <w:rsid w:val="00E3191D"/>
    <w:rsid w:val="00E52709"/>
    <w:rsid w:val="00F129D2"/>
    <w:rsid w:val="00F2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5B1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ld">
    <w:name w:val="bold"/>
    <w:basedOn w:val="Numatytasispastraiposriftas"/>
    <w:rsid w:val="00F129D2"/>
  </w:style>
  <w:style w:type="paragraph" w:customStyle="1" w:styleId="dec">
    <w:name w:val="dec"/>
    <w:basedOn w:val="prastasis"/>
    <w:rsid w:val="00F1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0A4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A456A"/>
  </w:style>
  <w:style w:type="paragraph" w:styleId="Porat">
    <w:name w:val="footer"/>
    <w:basedOn w:val="prastasis"/>
    <w:link w:val="PoratDiagrama"/>
    <w:uiPriority w:val="99"/>
    <w:unhideWhenUsed/>
    <w:rsid w:val="000A4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A456A"/>
  </w:style>
  <w:style w:type="paragraph" w:styleId="Pataisymai">
    <w:name w:val="Revision"/>
    <w:hidden/>
    <w:uiPriority w:val="99"/>
    <w:semiHidden/>
    <w:rsid w:val="00571637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E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E4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1924</Characters>
  <Application>Microsoft Office Word</Application>
  <DocSecurity>0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2023-04-11T10:03:00Z</dcterms:created>
  <dcterms:modified xsi:type="dcterms:W3CDTF">2023-04-14T07:10:00Z</dcterms:modified>
</cp:coreProperties>
</file>