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44FE" w14:textId="442794F4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1.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Farmacinė kompozicija, kurią sudaro</w:t>
      </w:r>
    </w:p>
    <w:p w14:paraId="4F52C60C" w14:textId="5627201F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antikūnas prieš beta </w:t>
      </w: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amiloidą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(Aβ), kurio koncentracija yra nuo 75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mg/ml iki 225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mg/ml;</w:t>
      </w:r>
    </w:p>
    <w:p w14:paraId="3584AB47" w14:textId="77777777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arginino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hidrochloridas (</w:t>
      </w: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Arg.HCl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), kurio koncentracija yra 150 </w:t>
      </w: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mM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>;</w:t>
      </w:r>
    </w:p>
    <w:p w14:paraId="3DAB925E" w14:textId="7402130F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metioninas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>, kurio koncentracija yra 10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mM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>;</w:t>
      </w:r>
    </w:p>
    <w:p w14:paraId="7A1AF63D" w14:textId="7B16C46A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histidinas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>, kurio koncentracija yra 20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proofErr w:type="spellStart"/>
      <w:r w:rsidRPr="00635A91">
        <w:rPr>
          <w:rFonts w:ascii="Helvetica" w:hAnsi="Helvetica" w:cs="Helvetica"/>
          <w:bCs/>
          <w:color w:val="000000"/>
          <w:kern w:val="0"/>
          <w:sz w:val="20"/>
        </w:rPr>
        <w:t>mM</w:t>
      </w:r>
      <w:proofErr w:type="spellEnd"/>
      <w:r w:rsidRPr="00635A91">
        <w:rPr>
          <w:rFonts w:ascii="Helvetica" w:hAnsi="Helvetica" w:cs="Helvetica"/>
          <w:bCs/>
          <w:color w:val="000000"/>
          <w:kern w:val="0"/>
          <w:sz w:val="20"/>
        </w:rPr>
        <w:t>; ir</w:t>
      </w:r>
    </w:p>
    <w:p w14:paraId="7765770C" w14:textId="4A57E966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Polisorbatas-80 (PS80), kurio koncentracija yra nuo 0,01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% iki 0,1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%,</w:t>
      </w:r>
    </w:p>
    <w:p w14:paraId="0A94EEFD" w14:textId="7DE8F75D" w:rsidR="00F129D2" w:rsidRPr="00635A91" w:rsidRDefault="008E432D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F27987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F129D2" w:rsidRPr="00635A91">
        <w:rPr>
          <w:rFonts w:ascii="Helvetica" w:hAnsi="Helvetica" w:cs="Helvetica"/>
          <w:bCs/>
          <w:color w:val="000000"/>
          <w:kern w:val="0"/>
          <w:sz w:val="20"/>
        </w:rPr>
        <w:t>tuo, kad farmacinės kompozicijos pH yra nuo 5,2 iki 6,2;</w:t>
      </w:r>
    </w:p>
    <w:p w14:paraId="0EA11B7B" w14:textId="6D66B2C7" w:rsidR="00F129D2" w:rsidRPr="00635A91" w:rsidRDefault="008E432D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F27987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F129D2" w:rsidRPr="00635A91">
        <w:rPr>
          <w:rFonts w:ascii="Helvetica" w:hAnsi="Helvetica" w:cs="Helvetica"/>
          <w:bCs/>
          <w:color w:val="000000"/>
          <w:kern w:val="0"/>
          <w:sz w:val="20"/>
        </w:rPr>
        <w:t>tuo, kad antikūną prieš Aβ sudaro imunoglobulino sunkioji grandinė ir imunoglobulino lengvoji grandinė, kai sunkiąją grandinę sudaro SEQ ID NR.:9 nurodyta aminorūgščių seka, o lengvąją grandinę – SEQ ID NR.:10 nurodyta aminorūgščių seka.</w:t>
      </w:r>
    </w:p>
    <w:p w14:paraId="55013557" w14:textId="77777777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292E88CC" w14:textId="17E57036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2.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Farmacinė kompozicija pagal 1 punktą, b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e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F27987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farmacinę kompoziciją sudaro antikūnas prieš Aβ, kurio koncentracija yra:</w:t>
      </w:r>
    </w:p>
    <w:p w14:paraId="7942CA6E" w14:textId="6E4D2FDC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(i) 175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mg/ml;</w:t>
      </w:r>
    </w:p>
    <w:p w14:paraId="125CD360" w14:textId="70DF6A9D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(ii) 150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mg/ml arba</w:t>
      </w:r>
    </w:p>
    <w:p w14:paraId="0E25D5A2" w14:textId="08596EC6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(iii) 100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mg/ml.</w:t>
      </w:r>
    </w:p>
    <w:p w14:paraId="773CC73D" w14:textId="77777777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29F8ED8" w14:textId="6FCD003C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3.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Farmacinė kompozicija pagal 1 arba 2 punktą, b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e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farmacinę kompoziciją sudaro PS80, kurio koncentracija yra nuo 0,03 % iki 0,08 %.</w:t>
      </w:r>
    </w:p>
    <w:p w14:paraId="6785AF1C" w14:textId="611B7B49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2AC2231A" w14:textId="268EEC2B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4.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Farmacinė kompozicija pagal 3 punktą, b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e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farmacinę kompoziciją sudaro PS80, kurio koncentracija yra 0,05 %.</w:t>
      </w:r>
    </w:p>
    <w:p w14:paraId="0E9BC00F" w14:textId="64DEF9D6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6CE6018E" w14:textId="5406F687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5.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Farmacinė kompozicija pagal bet kurį iš 1–4 punktų, b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e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r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n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jos pH yra nuo 5,3 iki 5,7.</w:t>
      </w:r>
    </w:p>
    <w:p w14:paraId="0823AEBC" w14:textId="4887F969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9C7BECA" w14:textId="2A2C68C5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6.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Farmacinė kompozicija pagal 5 punktą, 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farmacinės kompozicijos pH yra nuo 5,5.</w:t>
      </w:r>
    </w:p>
    <w:p w14:paraId="5BF30703" w14:textId="7C1549A5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560D815" w14:textId="04BC0B3D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7.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Farmacinė kompozicija pagal 1 punktą, 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kompoziciją sudaro</w:t>
      </w:r>
    </w:p>
    <w:p w14:paraId="3F4E56E0" w14:textId="68CEF68C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antikūnas prieš Aβ, kurio koncentracija yra 150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mg/ml; ir</w:t>
      </w:r>
    </w:p>
    <w:p w14:paraId="3B67A086" w14:textId="77777777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PS80, kurio koncentracija yra 0,05 %.</w:t>
      </w:r>
    </w:p>
    <w:p w14:paraId="54910E9D" w14:textId="77777777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5D4708BD" w14:textId="3D07C315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8.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Farmacinė kompozicija pagal 1 punktą, 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kompoziciją sudaro</w:t>
      </w:r>
    </w:p>
    <w:p w14:paraId="09272A28" w14:textId="20090088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antikūnas prieš Aβ, kurio koncentracija yra 100</w:t>
      </w:r>
      <w:r w:rsidR="00AA4249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 </w:t>
      </w:r>
      <w:r w:rsidRPr="00635A91">
        <w:rPr>
          <w:rFonts w:ascii="Helvetica" w:hAnsi="Helvetica" w:cs="Helvetica"/>
          <w:bCs/>
          <w:color w:val="000000"/>
          <w:kern w:val="0"/>
          <w:sz w:val="20"/>
        </w:rPr>
        <w:t>mg/ml; ir</w:t>
      </w:r>
    </w:p>
    <w:p w14:paraId="3E88FECC" w14:textId="77777777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PS80, kurio koncentracija yra 0,05 %.</w:t>
      </w:r>
    </w:p>
    <w:p w14:paraId="504BF99A" w14:textId="77777777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72C1BD2" w14:textId="6DD3BEA3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9.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Farmacinė kompozicija pagal 7 arba 8 punktą, 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farmacinės kompozicijos pH yra nuo 5,5.</w:t>
      </w:r>
    </w:p>
    <w:p w14:paraId="2A9B2CB4" w14:textId="0D45B5B3" w:rsidR="00F129D2" w:rsidRPr="00635A91" w:rsidRDefault="00F129D2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2CE38D9" w14:textId="79A6C0F7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10.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Farmacinė kompozicija pagal bet kurį iš 1–9 punktų, skirta Alzheimerio ligai gydyti žmogui, kuriam to reikia.</w:t>
      </w:r>
    </w:p>
    <w:p w14:paraId="0C985928" w14:textId="77777777" w:rsidR="001C0920" w:rsidRPr="00635A91" w:rsidRDefault="001C0920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051242E7" w14:textId="6F457463" w:rsidR="00E52709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lastRenderedPageBreak/>
        <w:t>11.</w:t>
      </w:r>
      <w:r w:rsidR="000A456A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Farmacinė kompozicija, skirta panaudoti pagal 10 punktą, 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farmacinė kompozicija turi būti suleidžiama po oda žmogui.</w:t>
      </w:r>
    </w:p>
    <w:p w14:paraId="350ED71D" w14:textId="77777777" w:rsidR="00E52709" w:rsidRPr="00635A91" w:rsidRDefault="00E52709" w:rsidP="00635A91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5F7935B" w14:textId="568EFFDC" w:rsidR="00F129D2" w:rsidRPr="00635A91" w:rsidRDefault="00F129D2" w:rsidP="00635A91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635A91">
        <w:rPr>
          <w:rFonts w:ascii="Helvetica" w:hAnsi="Helvetica" w:cs="Helvetica"/>
          <w:bCs/>
          <w:color w:val="000000"/>
          <w:kern w:val="0"/>
          <w:sz w:val="20"/>
        </w:rPr>
        <w:t>12.</w:t>
      </w:r>
      <w:r w:rsidR="00A87D37" w:rsidRPr="00635A91">
        <w:rPr>
          <w:rFonts w:ascii="Helvetica" w:hAnsi="Helvetica" w:cs="Helvetica"/>
          <w:bCs/>
          <w:color w:val="000000"/>
          <w:kern w:val="0"/>
          <w:sz w:val="20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Farmacinė kompozicija, skirta panaudoti pagal 10 punktą, </w:t>
      </w:r>
      <w:r w:rsidR="008E432D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 e s i s k i r i a n t i</w:t>
      </w:r>
      <w:r w:rsidR="001C0920"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="0037030D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635A91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tuo, kad farmacinė kompozicija turi būti suleidžiama į veną žmogui.</w:t>
      </w:r>
    </w:p>
    <w:sectPr w:rsidR="00F129D2" w:rsidRPr="00635A91" w:rsidSect="00635A91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53C5" w14:textId="77777777" w:rsidR="000F0FBE" w:rsidRDefault="000F0FBE" w:rsidP="000A456A">
      <w:pPr>
        <w:spacing w:after="0" w:line="240" w:lineRule="auto"/>
      </w:pPr>
      <w:r>
        <w:separator/>
      </w:r>
    </w:p>
  </w:endnote>
  <w:endnote w:type="continuationSeparator" w:id="0">
    <w:p w14:paraId="352E00C3" w14:textId="77777777" w:rsidR="000F0FBE" w:rsidRDefault="000F0FBE" w:rsidP="000A4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66A8" w14:textId="77777777" w:rsidR="000F0FBE" w:rsidRDefault="000F0FBE" w:rsidP="000A456A">
      <w:pPr>
        <w:spacing w:after="0" w:line="240" w:lineRule="auto"/>
      </w:pPr>
      <w:r>
        <w:separator/>
      </w:r>
    </w:p>
  </w:footnote>
  <w:footnote w:type="continuationSeparator" w:id="0">
    <w:p w14:paraId="32DC2EBA" w14:textId="77777777" w:rsidR="000F0FBE" w:rsidRDefault="000F0FBE" w:rsidP="000A4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C5"/>
    <w:rsid w:val="00082AAC"/>
    <w:rsid w:val="000A456A"/>
    <w:rsid w:val="000F0FBE"/>
    <w:rsid w:val="001504DE"/>
    <w:rsid w:val="001A639B"/>
    <w:rsid w:val="001C0920"/>
    <w:rsid w:val="00273CEF"/>
    <w:rsid w:val="00296215"/>
    <w:rsid w:val="0037030D"/>
    <w:rsid w:val="00571637"/>
    <w:rsid w:val="00635A91"/>
    <w:rsid w:val="006872C5"/>
    <w:rsid w:val="008E432D"/>
    <w:rsid w:val="00935A82"/>
    <w:rsid w:val="00A72E8C"/>
    <w:rsid w:val="00A87D37"/>
    <w:rsid w:val="00AA4249"/>
    <w:rsid w:val="00AF1CC5"/>
    <w:rsid w:val="00E21D19"/>
    <w:rsid w:val="00E3191D"/>
    <w:rsid w:val="00E52709"/>
    <w:rsid w:val="00F129D2"/>
    <w:rsid w:val="00F2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85B1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ld">
    <w:name w:val="bold"/>
    <w:basedOn w:val="Numatytasispastraiposriftas"/>
    <w:rsid w:val="00F129D2"/>
  </w:style>
  <w:style w:type="paragraph" w:customStyle="1" w:styleId="dec">
    <w:name w:val="dec"/>
    <w:basedOn w:val="prastasis"/>
    <w:rsid w:val="00F1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A4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456A"/>
  </w:style>
  <w:style w:type="paragraph" w:styleId="Porat">
    <w:name w:val="footer"/>
    <w:basedOn w:val="prastasis"/>
    <w:link w:val="PoratDiagrama"/>
    <w:uiPriority w:val="99"/>
    <w:unhideWhenUsed/>
    <w:rsid w:val="000A45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456A"/>
  </w:style>
  <w:style w:type="paragraph" w:styleId="Pataisymai">
    <w:name w:val="Revision"/>
    <w:hidden/>
    <w:uiPriority w:val="99"/>
    <w:semiHidden/>
    <w:rsid w:val="00571637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E4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1924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2023-04-11T10:03:00Z</dcterms:created>
  <dcterms:modified xsi:type="dcterms:W3CDTF">2023-04-14T07:10:00Z</dcterms:modified>
</cp:coreProperties>
</file>