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E725" w14:textId="77777777" w:rsidR="00097ECC" w:rsidRPr="008468D0" w:rsidRDefault="00BA2E9F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Junginys, kurio struktūra: </w:t>
      </w:r>
    </w:p>
    <w:p w14:paraId="3EE83586" w14:textId="7294E2C2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71C1E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1pt;height:146.7pt">
            <v:imagedata r:id="rId6" o:title=""/>
          </v:shape>
        </w:pict>
      </w:r>
    </w:p>
    <w:p w14:paraId="369621BB" w14:textId="7C4F637D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253A84C6">
          <v:shape id="_x0000_i1026" type="#_x0000_t75" style="width:368.15pt;height:170.5pt">
            <v:imagedata r:id="rId7" o:title=""/>
          </v:shape>
        </w:pict>
      </w:r>
    </w:p>
    <w:p w14:paraId="5CB35A15" w14:textId="20CCFF94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42F61858">
          <v:shape id="_x0000_i1027" type="#_x0000_t75" style="width:362.05pt;height:165.05pt">
            <v:imagedata r:id="rId8" o:title=""/>
          </v:shape>
        </w:pict>
      </w:r>
    </w:p>
    <w:p w14:paraId="289BD3CD" w14:textId="62D4C7A1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27397CDE">
          <v:shape id="_x0000_i1028" type="#_x0000_t75" style="width:359.3pt;height:163pt">
            <v:imagedata r:id="rId9" o:title=""/>
          </v:shape>
        </w:pict>
      </w:r>
    </w:p>
    <w:p w14:paraId="49851D15" w14:textId="785724E2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lastRenderedPageBreak/>
        <w:pict w14:anchorId="30F0357D">
          <v:shape id="_x0000_i1029" type="#_x0000_t75" style="width:355.9pt;height:165.05pt">
            <v:imagedata r:id="rId10" o:title=""/>
          </v:shape>
        </w:pict>
      </w:r>
    </w:p>
    <w:p w14:paraId="72FA3229" w14:textId="0FCA1309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7C7B0E9D">
          <v:shape id="_x0000_i1030" type="#_x0000_t75" style="width:364.1pt;height:150.8pt">
            <v:imagedata r:id="rId11" o:title=""/>
          </v:shape>
        </w:pict>
      </w:r>
    </w:p>
    <w:p w14:paraId="107A2AE3" w14:textId="2EA7E14C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07486895">
          <v:shape id="_x0000_i1031" type="#_x0000_t75" style="width:366.8pt;height:151.45pt">
            <v:imagedata r:id="rId12" o:title=""/>
          </v:shape>
        </w:pict>
      </w:r>
    </w:p>
    <w:p w14:paraId="64C41BBE" w14:textId="636206C9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5F77A4B6">
          <v:shape id="_x0000_i1032" type="#_x0000_t75" style="width:366.1pt;height:122.95pt">
            <v:imagedata r:id="rId13" o:title=""/>
          </v:shape>
        </w:pict>
      </w:r>
    </w:p>
    <w:p w14:paraId="35F95807" w14:textId="61D58AFB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lastRenderedPageBreak/>
        <w:pict w14:anchorId="097E3256">
          <v:shape id="_x0000_i1033" type="#_x0000_t75" style="width:338.25pt;height:156.9pt">
            <v:imagedata r:id="rId14" o:title=""/>
          </v:shape>
        </w:pict>
      </w:r>
    </w:p>
    <w:p w14:paraId="1BA8C2B1" w14:textId="7E0F5910" w:rsidR="00097ECC" w:rsidRPr="008468D0" w:rsidRDefault="00097ECC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arba</w:t>
      </w:r>
    </w:p>
    <w:p w14:paraId="5BFBB887" w14:textId="6CC5713B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601A93C4">
          <v:shape id="_x0000_i1034" type="#_x0000_t75" style="width:320.6pt;height:149.45pt">
            <v:imagedata r:id="rId15" o:title=""/>
          </v:shape>
        </w:pict>
      </w:r>
    </w:p>
    <w:p w14:paraId="6740A172" w14:textId="765EC469" w:rsidR="000728A3" w:rsidRPr="008468D0" w:rsidRDefault="000728A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 xml:space="preserve">arba bet kurio iš aukščiau paminėtų </w:t>
      </w:r>
      <w:r w:rsidR="000A1B5C" w:rsidRPr="008468D0">
        <w:rPr>
          <w:rFonts w:ascii="Helvetica" w:hAnsi="Helvetica" w:cs="Arial"/>
          <w:sz w:val="20"/>
          <w:szCs w:val="24"/>
          <w:lang w:val="lt-LT"/>
        </w:rPr>
        <w:t>junginių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 farmaciniu požiūriu priimtina druska,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enantiomeras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arba izotopinis darinys.</w:t>
      </w:r>
    </w:p>
    <w:p w14:paraId="27605658" w14:textId="77777777" w:rsidR="00097ECC" w:rsidRPr="008468D0" w:rsidRDefault="00097ECC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F76D3FD" w14:textId="0A52F965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2.</w:t>
      </w:r>
      <w:r w:rsidR="00097ECC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punktą, kurio struktūra: </w:t>
      </w:r>
    </w:p>
    <w:p w14:paraId="7E85A972" w14:textId="10F22852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5E4077E0">
          <v:shape id="_x0000_i1035" type="#_x0000_t75" style="width:361.35pt;height:145.35pt">
            <v:imagedata r:id="rId16" o:title=""/>
          </v:shape>
        </w:pict>
      </w:r>
    </w:p>
    <w:p w14:paraId="082BCE0C" w14:textId="1117146B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721683B2">
          <v:shape id="_x0000_i1036" type="#_x0000_t75" style="width:368.15pt;height:171.15pt">
            <v:imagedata r:id="rId17" o:title=""/>
          </v:shape>
        </w:pict>
      </w:r>
    </w:p>
    <w:p w14:paraId="076CFF72" w14:textId="2BDD2EAF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lastRenderedPageBreak/>
        <w:pict w14:anchorId="00657E0B">
          <v:shape id="_x0000_i1037" type="#_x0000_t75" style="width:361.35pt;height:164.4pt">
            <v:imagedata r:id="rId18" o:title=""/>
          </v:shape>
        </w:pict>
      </w:r>
    </w:p>
    <w:p w14:paraId="710E9E66" w14:textId="429328E9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753E5BD9">
          <v:shape id="_x0000_i1038" type="#_x0000_t75" style="width:362.05pt;height:165.05pt">
            <v:imagedata r:id="rId19" o:title=""/>
          </v:shape>
        </w:pict>
      </w:r>
    </w:p>
    <w:p w14:paraId="174AD4A0" w14:textId="5699B26D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4CBC9606">
          <v:shape id="_x0000_i1039" type="#_x0000_t75" style="width:370.2pt;height:171.85pt">
            <v:imagedata r:id="rId20" o:title=""/>
          </v:shape>
        </w:pict>
      </w:r>
    </w:p>
    <w:p w14:paraId="1DB6CF21" w14:textId="5A964930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4CA019A5">
          <v:shape id="_x0000_i1040" type="#_x0000_t75" style="width:368.85pt;height:152.85pt">
            <v:imagedata r:id="rId21" o:title=""/>
          </v:shape>
        </w:pict>
      </w:r>
    </w:p>
    <w:p w14:paraId="4BE27915" w14:textId="4BA9F68E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lastRenderedPageBreak/>
        <w:pict w14:anchorId="2DB15644">
          <v:shape id="_x0000_i1041" type="#_x0000_t75" style="width:371.55pt;height:151.45pt">
            <v:imagedata r:id="rId22" o:title=""/>
          </v:shape>
        </w:pict>
      </w:r>
    </w:p>
    <w:p w14:paraId="5FD1870C" w14:textId="3178881C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4FCDC3AE">
          <v:shape id="_x0000_i1042" type="#_x0000_t75" style="width:373.6pt;height:125pt">
            <v:imagedata r:id="rId23" o:title=""/>
          </v:shape>
        </w:pict>
      </w:r>
    </w:p>
    <w:p w14:paraId="441B81F6" w14:textId="26D6C65B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570B73B6">
          <v:shape id="_x0000_i1043" type="#_x0000_t75" style="width:361.35pt;height:167.75pt">
            <v:imagedata r:id="rId24" o:title=""/>
          </v:shape>
        </w:pict>
      </w:r>
    </w:p>
    <w:p w14:paraId="5B0FDDC5" w14:textId="26542AE3" w:rsidR="000A1B5C" w:rsidRPr="008468D0" w:rsidRDefault="000A1B5C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arba</w:t>
      </w:r>
    </w:p>
    <w:p w14:paraId="66540DB5" w14:textId="56BCA715" w:rsidR="00097ECC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2A3B53CF">
          <v:shape id="_x0000_i1044" type="#_x0000_t75" style="width:360.7pt;height:165.75pt">
            <v:imagedata r:id="rId25" o:title=""/>
          </v:shape>
        </w:pict>
      </w:r>
    </w:p>
    <w:p w14:paraId="0075800D" w14:textId="77777777" w:rsidR="00097ECC" w:rsidRPr="008468D0" w:rsidRDefault="00097ECC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BBC8B1E" w14:textId="77777777" w:rsidR="00D241E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3.</w:t>
      </w:r>
      <w:r w:rsidR="00097ECC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punktą, </w:t>
      </w:r>
      <w:r w:rsidR="00097ECC" w:rsidRPr="008468D0">
        <w:rPr>
          <w:rFonts w:ascii="Helvetica" w:hAnsi="Helvetica" w:cs="Arial"/>
          <w:sz w:val="20"/>
          <w:szCs w:val="24"/>
          <w:lang w:val="lt-LT"/>
        </w:rPr>
        <w:t>kurio struktūra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0573F8FB" w14:textId="56FB436C" w:rsidR="00D241E3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lastRenderedPageBreak/>
        <w:pict w14:anchorId="2C54DB99">
          <v:shape id="_x0000_i1045" type="#_x0000_t75" style="width:364.1pt;height:146.05pt">
            <v:imagedata r:id="rId26" o:title=""/>
          </v:shape>
        </w:pict>
      </w:r>
    </w:p>
    <w:p w14:paraId="4AB9DDCB" w14:textId="0CFB4737" w:rsidR="000728A3" w:rsidRPr="008468D0" w:rsidRDefault="000728A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enantiomeras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arba izotopinis darinys.</w:t>
      </w:r>
    </w:p>
    <w:p w14:paraId="298F4D1B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C6EE3DD" w14:textId="6A350113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4.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arba 2 punktą, kurio struktūra: </w:t>
      </w:r>
    </w:p>
    <w:p w14:paraId="30310B70" w14:textId="50BD8A25" w:rsidR="00D241E3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51876C2C">
          <v:shape id="_x0000_i1046" type="#_x0000_t75" style="width:360.7pt;height:141.95pt">
            <v:imagedata r:id="rId27" o:title=""/>
          </v:shape>
        </w:pict>
      </w:r>
    </w:p>
    <w:p w14:paraId="19A04017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0901452" w14:textId="77777777" w:rsidR="00D241E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5.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punktą, </w:t>
      </w:r>
      <w:r w:rsidR="00097ECC" w:rsidRPr="008468D0">
        <w:rPr>
          <w:rFonts w:ascii="Helvetica" w:hAnsi="Helvetica" w:cs="Arial"/>
          <w:sz w:val="20"/>
          <w:szCs w:val="24"/>
          <w:lang w:val="lt-LT"/>
        </w:rPr>
        <w:t>kurio struktūra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4CFC4350" w14:textId="67295BFF" w:rsidR="00D241E3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554E43BF">
          <v:shape id="_x0000_i1047" type="#_x0000_t75" style="width:356.6pt;height:163pt">
            <v:imagedata r:id="rId28" o:title=""/>
          </v:shape>
        </w:pict>
      </w:r>
    </w:p>
    <w:p w14:paraId="56FA11D0" w14:textId="04AF26CA" w:rsidR="000728A3" w:rsidRPr="008468D0" w:rsidRDefault="000728A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enantiomeras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arba izotopinis darinys.</w:t>
      </w:r>
    </w:p>
    <w:p w14:paraId="0236F479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CD856F6" w14:textId="46D3FA65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6.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arba 2 punktą, kurio struktūra: </w:t>
      </w:r>
    </w:p>
    <w:p w14:paraId="77791206" w14:textId="45968E94" w:rsidR="00D241E3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lastRenderedPageBreak/>
        <w:pict w14:anchorId="3CAB740E">
          <v:shape id="_x0000_i1048" type="#_x0000_t75" style="width:357.95pt;height:161pt">
            <v:imagedata r:id="rId29" o:title=""/>
          </v:shape>
        </w:pict>
      </w:r>
    </w:p>
    <w:p w14:paraId="1B9728F1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EEA9832" w14:textId="77777777" w:rsidR="00D241E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7.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punktą, </w:t>
      </w:r>
      <w:r w:rsidR="00097ECC" w:rsidRPr="008468D0">
        <w:rPr>
          <w:rFonts w:ascii="Helvetica" w:hAnsi="Helvetica" w:cs="Arial"/>
          <w:sz w:val="20"/>
          <w:szCs w:val="24"/>
          <w:lang w:val="lt-LT"/>
        </w:rPr>
        <w:t>kurio struktūra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68792480" w14:textId="168E6279" w:rsidR="00D241E3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571788A3">
          <v:shape id="_x0000_i1049" type="#_x0000_t75" style="width:362.05pt;height:165.75pt">
            <v:imagedata r:id="rId30" o:title=""/>
          </v:shape>
        </w:pict>
      </w:r>
    </w:p>
    <w:p w14:paraId="0F01C934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C8B7C4B" w14:textId="0A7A404F" w:rsidR="000728A3" w:rsidRPr="008468D0" w:rsidRDefault="000728A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enantiomeras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arba izotopinis darinys.</w:t>
      </w:r>
    </w:p>
    <w:p w14:paraId="7A2531BA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D24258" w14:textId="501B2AA5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8.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arba 2 punktą, kurio struktūra: </w:t>
      </w:r>
    </w:p>
    <w:p w14:paraId="0AFAC8F4" w14:textId="69DF7AEE" w:rsidR="00D241E3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74304365">
          <v:shape id="_x0000_i1050" type="#_x0000_t75" style="width:364.75pt;height:164.4pt">
            <v:imagedata r:id="rId31" o:title=""/>
          </v:shape>
        </w:pict>
      </w:r>
    </w:p>
    <w:p w14:paraId="484D9031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7B161D0" w14:textId="77777777" w:rsidR="00D241E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9.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punktą, </w:t>
      </w:r>
      <w:r w:rsidR="00097ECC" w:rsidRPr="008468D0">
        <w:rPr>
          <w:rFonts w:ascii="Helvetica" w:hAnsi="Helvetica" w:cs="Arial"/>
          <w:sz w:val="20"/>
          <w:szCs w:val="24"/>
          <w:lang w:val="lt-LT"/>
        </w:rPr>
        <w:t>kurio struktūra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7A41F350" w14:textId="124A8D77" w:rsidR="00D241E3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lastRenderedPageBreak/>
        <w:pict w14:anchorId="2C46D827">
          <v:shape id="_x0000_i1051" type="#_x0000_t75" style="width:355.9pt;height:163pt">
            <v:imagedata r:id="rId32" o:title=""/>
          </v:shape>
        </w:pict>
      </w:r>
    </w:p>
    <w:p w14:paraId="7E0D8872" w14:textId="4F204098" w:rsidR="000728A3" w:rsidRPr="008468D0" w:rsidRDefault="000728A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enantiomeras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arba izotopinis darinys.</w:t>
      </w:r>
    </w:p>
    <w:p w14:paraId="18DCF9BC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516DFD" w14:textId="6FFF3F1C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10.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arba 2 punktą, kurio struktūra: </w:t>
      </w:r>
    </w:p>
    <w:p w14:paraId="06CDA562" w14:textId="4C4EA3A5" w:rsidR="00D241E3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3CC8988B">
          <v:shape id="_x0000_i1052" type="#_x0000_t75" style="width:364.75pt;height:165.75pt">
            <v:imagedata r:id="rId33" o:title=""/>
          </v:shape>
        </w:pict>
      </w:r>
    </w:p>
    <w:p w14:paraId="4A978DF4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538824" w14:textId="77777777" w:rsidR="00D241E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11.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punktą, </w:t>
      </w:r>
      <w:r w:rsidR="00097ECC" w:rsidRPr="008468D0">
        <w:rPr>
          <w:rFonts w:ascii="Helvetica" w:hAnsi="Helvetica" w:cs="Arial"/>
          <w:sz w:val="20"/>
          <w:szCs w:val="24"/>
          <w:lang w:val="lt-LT"/>
        </w:rPr>
        <w:t>kurio struktūra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52D41A2E" w14:textId="107B56F5" w:rsidR="00D241E3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pict w14:anchorId="01F9F332">
          <v:shape id="_x0000_i1053" type="#_x0000_t75" style="width:5in;height:167.1pt">
            <v:imagedata r:id="rId34" o:title=""/>
          </v:shape>
        </w:pict>
      </w:r>
    </w:p>
    <w:p w14:paraId="33EFE585" w14:textId="2DFD3A71" w:rsidR="000728A3" w:rsidRPr="008468D0" w:rsidRDefault="000728A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enantiomeras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stereoizomeras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arba izotopinis darinys.</w:t>
      </w:r>
    </w:p>
    <w:p w14:paraId="7B7C6458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54ACDC2" w14:textId="16E32CE2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12.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pagal 1 arba 2 punktą, kurio struktūra: </w:t>
      </w:r>
    </w:p>
    <w:p w14:paraId="06A4529C" w14:textId="75C27E94" w:rsidR="00D241E3" w:rsidRPr="008468D0" w:rsidRDefault="0044327A" w:rsidP="008468D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lastRenderedPageBreak/>
        <w:pict w14:anchorId="01C9B74E">
          <v:shape id="_x0000_i1054" type="#_x0000_t75" style="width:364.1pt;height:167.1pt">
            <v:imagedata r:id="rId35" o:title=""/>
          </v:shape>
        </w:pict>
      </w:r>
    </w:p>
    <w:p w14:paraId="0921390E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ADDD3D8" w14:textId="5700C5B7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13.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Farmacinė kompozicija, apimanti junginį pagal bet kurį</w:t>
      </w:r>
      <w:r w:rsidR="004D71A4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iš 1</w:t>
      </w:r>
      <w:r w:rsidR="00840B4B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-</w:t>
      </w:r>
      <w:r w:rsidR="00840B4B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12 punktų ir farmaciniu požiūriu priimtiną nešiklį.</w:t>
      </w:r>
    </w:p>
    <w:p w14:paraId="200483EC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3982BF" w14:textId="6CA8B2BF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14.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Farmacinė kompozicija pagal 13 punktą, papildomai apimanti veiksmingą kiekį papildomo priešvėžinio agento.</w:t>
      </w:r>
    </w:p>
    <w:p w14:paraId="4F0DAAF2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0E95F84" w14:textId="3B6A785D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15.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Farmacinė kompozicija pagal 14 punktą, kur papildomas priešvėžinis agentas yra FLT-3 inhibitorius, VEGFR inhibitorius, EGFR TK inhibitorius, aurora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inhibitorius, PIK-1 moduliatorius, Bcl-2 inhibitorius, HDAC inhibitorius, c-MET inhibitorius, PARP inhibitorius,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Cdk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inhibitorius,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anti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-HGF antikūnas, PI3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inhibitorius, AKT inhibitorius, mTORC1/2 inhibitorius, JAK/STAT inhibitorius, kontrolinio taško </w:t>
      </w:r>
      <w:r w:rsidR="004D71A4" w:rsidRPr="008468D0">
        <w:rPr>
          <w:rFonts w:ascii="Helvetica" w:hAnsi="Helvetica" w:cs="Arial"/>
          <w:sz w:val="20"/>
          <w:szCs w:val="24"/>
          <w:lang w:val="lt-LT"/>
        </w:rPr>
        <w:t xml:space="preserve">1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inhibitorius, kontrolinio taško </w:t>
      </w:r>
      <w:r w:rsidR="004D71A4" w:rsidRPr="008468D0">
        <w:rPr>
          <w:rFonts w:ascii="Helvetica" w:hAnsi="Helvetica" w:cs="Arial"/>
          <w:sz w:val="20"/>
          <w:szCs w:val="24"/>
          <w:lang w:val="lt-LT"/>
        </w:rPr>
        <w:t xml:space="preserve">2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inhibitorius,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židini</w:t>
      </w:r>
      <w:r w:rsidR="004D71A4" w:rsidRPr="008468D0">
        <w:rPr>
          <w:rFonts w:ascii="Helvetica" w:hAnsi="Helvetica" w:cs="Arial"/>
          <w:sz w:val="20"/>
          <w:szCs w:val="24"/>
          <w:lang w:val="lt-LT"/>
        </w:rPr>
        <w:t>nės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adhezijos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inhibitorius, MAP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inhibitorius arba VEGF</w:t>
      </w:r>
      <w:r w:rsidR="004023EC" w:rsidRPr="008468D0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="004D71A4" w:rsidRPr="008468D0">
        <w:rPr>
          <w:rFonts w:ascii="Helvetica" w:hAnsi="Helvetica" w:cs="Arial"/>
          <w:sz w:val="20"/>
          <w:szCs w:val="24"/>
          <w:lang w:val="lt-LT"/>
        </w:rPr>
        <w:t>trap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antikūnas.</w:t>
      </w:r>
    </w:p>
    <w:p w14:paraId="487E96CA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B250AAB" w14:textId="6375FE6D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16.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Farmacinė kompozicija pagal 14 punktą, kur papildomas priešvėžinis agentas yra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docetakselis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goserelino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acetatas,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triptorelino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pamoatas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buserelinas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flutamidas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bikalutamidas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nilutamidas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pamidronatas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zolendronatas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everolimuzas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pazopanibas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karboplatina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cisplatina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oksaliplatina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epitilonas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 B,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fulvestrantas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akolbifenas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lazofoksifenas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idoksifenas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topotekanas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>,</w:t>
      </w:r>
      <w:r w:rsidR="004023EC" w:rsidRPr="008468D0">
        <w:rPr>
          <w:rFonts w:ascii="Helvetica" w:hAnsi="Helvetica"/>
          <w:sz w:val="20"/>
          <w:lang w:val="lt-LT"/>
        </w:rPr>
        <w:t xml:space="preserve">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pemetreksedas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erlotinibas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ticilimumabas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ipilimumabas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vorinostatas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etopozidas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gemcitabinas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doksorubicinas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>, 5'-deoksi-5-fluoruridinas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vinkristinas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temozolomidas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kapecitabinas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kamptotecinas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PD0325901,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tamoksifenas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toremifeno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 citratas,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anastrazolas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letrozolas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bevacizumabas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raloksifenas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paklitakselis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abraksanas</w:t>
      </w:r>
      <w:proofErr w:type="spellEnd"/>
      <w:r w:rsidR="004023EC" w:rsidRPr="008468D0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4023EC" w:rsidRPr="008468D0">
        <w:rPr>
          <w:rFonts w:ascii="Helvetica" w:hAnsi="Helvetica" w:cs="Arial"/>
          <w:sz w:val="20"/>
          <w:szCs w:val="24"/>
          <w:lang w:val="lt-LT"/>
        </w:rPr>
        <w:t>trastuzumabas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>.</w:t>
      </w:r>
    </w:p>
    <w:p w14:paraId="4A8350E1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FE5AAFA" w14:textId="55593C2E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17.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Farmacinė kompozicija pagal 14 punktą, kur</w:t>
      </w:r>
    </w:p>
    <w:p w14:paraId="18DD106A" w14:textId="6D0E5C11" w:rsidR="000728A3" w:rsidRPr="008468D0" w:rsidRDefault="00840B4B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(</w:t>
      </w:r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a) papildomas priešvėžinis agentas yra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docetakselis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goserelino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 acetatas,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triptorelino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pamoatas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buserelinas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flutamidas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bikalutamidas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nilutamidas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pamidronatas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zolendronatas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>; arba</w:t>
      </w:r>
    </w:p>
    <w:p w14:paraId="73CB72F1" w14:textId="4ED509A7" w:rsidR="000728A3" w:rsidRPr="008468D0" w:rsidRDefault="00840B4B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(</w:t>
      </w:r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b) papildomas </w:t>
      </w:r>
      <w:r w:rsidRPr="008468D0">
        <w:rPr>
          <w:rFonts w:ascii="Helvetica" w:hAnsi="Helvetica" w:cs="Arial"/>
          <w:sz w:val="20"/>
          <w:szCs w:val="24"/>
          <w:lang w:val="lt-LT"/>
        </w:rPr>
        <w:t>priešvėžinis agentas</w:t>
      </w:r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 yra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everolimuzas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kapecitabinas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docetakselis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paklitakselis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abraksanas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>.</w:t>
      </w:r>
    </w:p>
    <w:p w14:paraId="0BBDC848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A1C2C79" w14:textId="31E355CA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18.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840B4B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-</w:t>
      </w:r>
      <w:r w:rsidR="00840B4B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12 punktų arba farmacinė kompozicija pagal 13 punktą, skirti panaudoti subjekto vėžio gydymui.</w:t>
      </w:r>
    </w:p>
    <w:p w14:paraId="1220FFCA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9AC43BB" w14:textId="6D68EC43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19.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Junginys arba farmacinė kompozicija, skirt</w:t>
      </w:r>
      <w:r w:rsidR="00840B4B" w:rsidRPr="008468D0">
        <w:rPr>
          <w:rFonts w:ascii="Helvetica" w:hAnsi="Helvetica" w:cs="Arial"/>
          <w:sz w:val="20"/>
          <w:szCs w:val="24"/>
          <w:lang w:val="lt-LT"/>
        </w:rPr>
        <w:t>i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 naudoti pagal 18 punktą, kur vėžys yra krūties vėžys.</w:t>
      </w:r>
    </w:p>
    <w:p w14:paraId="12D87287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F3621B6" w14:textId="3E43AB01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lastRenderedPageBreak/>
        <w:t>20.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840B4B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-</w:t>
      </w:r>
      <w:r w:rsidR="00840B4B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12 punktų arba farmacinė kompozicija pagal 13 punktą, skirti naudoti gydant </w:t>
      </w:r>
      <w:r w:rsidR="008609A4" w:rsidRPr="008468D0">
        <w:rPr>
          <w:rFonts w:ascii="Helvetica" w:hAnsi="Helvetica" w:cs="Arial"/>
          <w:sz w:val="20"/>
          <w:szCs w:val="24"/>
          <w:lang w:val="lt-LT"/>
        </w:rPr>
        <w:t xml:space="preserve">subjekto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ligą, kur liga yra parinkta iš krūties vėžio, gimdos vėžio, kiaušidžių vėžio, prostatos vėžio, </w:t>
      </w:r>
      <w:r w:rsidR="008609A4" w:rsidRPr="008468D0">
        <w:rPr>
          <w:rFonts w:ascii="Helvetica" w:hAnsi="Helvetica" w:cs="Arial"/>
          <w:sz w:val="20"/>
          <w:szCs w:val="24"/>
          <w:lang w:val="lt-LT"/>
        </w:rPr>
        <w:t>gimdos gleivinės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 vėžio ir endometriozė</w:t>
      </w:r>
      <w:r w:rsidR="008609A4" w:rsidRPr="008468D0">
        <w:rPr>
          <w:rFonts w:ascii="Helvetica" w:hAnsi="Helvetica" w:cs="Arial"/>
          <w:sz w:val="20"/>
          <w:szCs w:val="24"/>
          <w:lang w:val="lt-LT"/>
        </w:rPr>
        <w:t>s</w:t>
      </w:r>
      <w:r w:rsidRPr="008468D0">
        <w:rPr>
          <w:rFonts w:ascii="Helvetica" w:hAnsi="Helvetica" w:cs="Arial"/>
          <w:sz w:val="20"/>
          <w:szCs w:val="24"/>
          <w:lang w:val="lt-LT"/>
        </w:rPr>
        <w:t>.</w:t>
      </w:r>
    </w:p>
    <w:p w14:paraId="49266C4D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38C7163" w14:textId="10BEA92D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21.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Junginys arba farmacinė kompozicija, skirta naudoti pagal bet kurį iš 18</w:t>
      </w:r>
      <w:r w:rsidR="00840B4B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-</w:t>
      </w:r>
      <w:r w:rsidR="00840B4B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20 punktų, kur gydymas papildomai apima papildomo priešvėžinio agento veiksmingo kiekio panaudojimą.</w:t>
      </w:r>
    </w:p>
    <w:p w14:paraId="12F23A3A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F5BD769" w14:textId="28FB69B6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22.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Junginys arba farmacinė kompozicija, skirta naudoti pagal 21 punktą, kur papildomas priešvėžinis agentas yra FLT-3 inhibitorius, VEGFR inhibitorius, EGFR TK inhibitorius, aurora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inhibitorius, PIK-1 moduliatorius, Bcl-2 inhibitorius, HDAC inhibitorius, c-MET inhibitorius, PARP inhibitorius,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Cdk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inhibitorius,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anti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-HGF antikūnas, PI3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inhibitorius, AKT inhibitorius, mTORC1/2 inhibitorius, JAK/STAT inhibitorius, kontrolinio taško </w:t>
      </w:r>
      <w:r w:rsidR="008609A4" w:rsidRPr="008468D0">
        <w:rPr>
          <w:rFonts w:ascii="Helvetica" w:hAnsi="Helvetica" w:cs="Arial"/>
          <w:sz w:val="20"/>
          <w:szCs w:val="24"/>
          <w:lang w:val="lt-LT"/>
        </w:rPr>
        <w:t xml:space="preserve">1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inhibitorius, kontrolinio taško </w:t>
      </w:r>
      <w:r w:rsidR="008609A4" w:rsidRPr="008468D0">
        <w:rPr>
          <w:rFonts w:ascii="Helvetica" w:hAnsi="Helvetica" w:cs="Arial"/>
          <w:sz w:val="20"/>
          <w:szCs w:val="24"/>
          <w:lang w:val="lt-LT"/>
        </w:rPr>
        <w:t xml:space="preserve">2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inhibitorius,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židininės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adhezijos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inhibitorius, MAP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inhibitorius arba VEGF</w:t>
      </w:r>
      <w:r w:rsidR="008609A4" w:rsidRPr="008468D0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8468D0">
        <w:rPr>
          <w:rFonts w:ascii="Helvetica" w:hAnsi="Helvetica" w:cs="Arial"/>
          <w:sz w:val="20"/>
          <w:szCs w:val="24"/>
          <w:lang w:val="lt-LT"/>
        </w:rPr>
        <w:t>trap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 xml:space="preserve"> antikūnas.</w:t>
      </w:r>
    </w:p>
    <w:p w14:paraId="70523F04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AC2BC3" w14:textId="023266AE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23.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Junginys arba farmacinė kompozicija, skirt</w:t>
      </w:r>
      <w:r w:rsidR="006D7CC7" w:rsidRPr="008468D0">
        <w:rPr>
          <w:rFonts w:ascii="Helvetica" w:hAnsi="Helvetica" w:cs="Arial"/>
          <w:sz w:val="20"/>
          <w:szCs w:val="24"/>
          <w:lang w:val="lt-LT"/>
        </w:rPr>
        <w:t>i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 naudoti pagal 21 punktą, kur papildomas priešvėžinis agentas yra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docetakselis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goserelino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 acetatas,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triptorelino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pamoatas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buserelinas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flutamidas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bikalutamidas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nilutamidas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pamidronatas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zolendronatas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everolimuzas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pazopanibas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karboplatina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cisplatina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oksaliplatina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epitilonas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 B,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fulvestrantas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akolbifenas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lazofoksifenas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idoksifenas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topotekanas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>,</w:t>
      </w:r>
      <w:r w:rsidR="006D7CC7" w:rsidRPr="008468D0">
        <w:rPr>
          <w:rFonts w:ascii="Helvetica" w:hAnsi="Helvetica"/>
          <w:sz w:val="20"/>
          <w:lang w:val="lt-LT"/>
        </w:rPr>
        <w:t xml:space="preserve">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pemetreksedas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erlotinibas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ticilimumabas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ipilimumabas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vorinostatas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etopozidas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gemcitabinas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doksorubicinas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5'-deoksi-5-fluoruridinas,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vinkristinas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temozolomidas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kapecitabinas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kamptotecinas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PD0325901,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tamoksifenas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toremifeno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 citratas,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anastrazolas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letrozolas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bevacizumabas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raloksifenas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paklitakselis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abraksanas</w:t>
      </w:r>
      <w:proofErr w:type="spellEnd"/>
      <w:r w:rsidR="006D7CC7" w:rsidRPr="008468D0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6D7CC7" w:rsidRPr="008468D0">
        <w:rPr>
          <w:rFonts w:ascii="Helvetica" w:hAnsi="Helvetica" w:cs="Arial"/>
          <w:sz w:val="20"/>
          <w:szCs w:val="24"/>
          <w:lang w:val="lt-LT"/>
        </w:rPr>
        <w:t>trastuzumabas</w:t>
      </w:r>
      <w:proofErr w:type="spellEnd"/>
      <w:r w:rsidRPr="008468D0">
        <w:rPr>
          <w:rFonts w:ascii="Helvetica" w:hAnsi="Helvetica" w:cs="Arial"/>
          <w:sz w:val="20"/>
          <w:szCs w:val="24"/>
          <w:lang w:val="lt-LT"/>
        </w:rPr>
        <w:t>.</w:t>
      </w:r>
    </w:p>
    <w:p w14:paraId="220B10FE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5C32082" w14:textId="18798927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24.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Junginys arba farmacinė kompozicija, skirta naudoti pagal 21 punktą, kur</w:t>
      </w:r>
    </w:p>
    <w:p w14:paraId="09C2F9CA" w14:textId="74E59692" w:rsidR="000728A3" w:rsidRPr="008468D0" w:rsidRDefault="00AC6445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(</w:t>
      </w:r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a) papildomas priešvėžinis agentas yra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docetakselis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goserelino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 acetatas,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triptorelino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pamoatas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buserelinas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flutamidas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bikalutamidas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nilutamidas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pamidronatas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zolendronatas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>; arba</w:t>
      </w:r>
    </w:p>
    <w:p w14:paraId="17F576B4" w14:textId="42C8DE6F" w:rsidR="000728A3" w:rsidRPr="008468D0" w:rsidRDefault="00AC6445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(</w:t>
      </w:r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b) papildomas </w:t>
      </w:r>
      <w:r w:rsidRPr="008468D0">
        <w:rPr>
          <w:rFonts w:ascii="Helvetica" w:hAnsi="Helvetica" w:cs="Arial"/>
          <w:sz w:val="20"/>
          <w:szCs w:val="24"/>
          <w:lang w:val="lt-LT"/>
        </w:rPr>
        <w:t>priešvėžinis agentas</w:t>
      </w:r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 yra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everolimuzas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kapecitabinas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docetakselis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paklitakselis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0728A3" w:rsidRPr="008468D0">
        <w:rPr>
          <w:rFonts w:ascii="Helvetica" w:hAnsi="Helvetica" w:cs="Arial"/>
          <w:sz w:val="20"/>
          <w:szCs w:val="24"/>
          <w:lang w:val="lt-LT"/>
        </w:rPr>
        <w:t>abraksanas</w:t>
      </w:r>
      <w:proofErr w:type="spellEnd"/>
      <w:r w:rsidR="000728A3" w:rsidRPr="008468D0">
        <w:rPr>
          <w:rFonts w:ascii="Helvetica" w:hAnsi="Helvetica" w:cs="Arial"/>
          <w:sz w:val="20"/>
          <w:szCs w:val="24"/>
          <w:lang w:val="lt-LT"/>
        </w:rPr>
        <w:t>.</w:t>
      </w:r>
    </w:p>
    <w:p w14:paraId="59C7FF1B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D4D38D2" w14:textId="2726D460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25.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Farmacinė kompozicija pagal bet kurį iš 14</w:t>
      </w:r>
      <w:r w:rsidR="00AC6445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-</w:t>
      </w:r>
      <w:r w:rsidR="00AC6445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17 punktų, skirta naudoti subjekto vėžio gydymui.</w:t>
      </w:r>
    </w:p>
    <w:p w14:paraId="72CC043C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779C89B" w14:textId="16C52CE9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26.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Farmacinė kompozicija, skirta naudoti pagal 25 punktą, kur vėžys yra krūties vėžys.</w:t>
      </w:r>
    </w:p>
    <w:p w14:paraId="534B66DD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613661" w14:textId="3858AB89" w:rsidR="000728A3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27.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Farmacinė kompozicija pagal bet kurį iš 14</w:t>
      </w:r>
      <w:r w:rsidR="00AC6445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-</w:t>
      </w:r>
      <w:r w:rsidR="00AC6445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17 punktų, skirta naudoti gydant </w:t>
      </w:r>
      <w:r w:rsidR="00AC6445" w:rsidRPr="008468D0">
        <w:rPr>
          <w:rFonts w:ascii="Helvetica" w:hAnsi="Helvetica" w:cs="Arial"/>
          <w:sz w:val="20"/>
          <w:szCs w:val="24"/>
          <w:lang w:val="lt-LT"/>
        </w:rPr>
        <w:t xml:space="preserve">subjekto 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ligą, kur liga yra parinkta iš krūties vėžio, gimdos vėžio, kiaušidžių vėžio, prostatos vėžio, </w:t>
      </w:r>
      <w:r w:rsidR="00AC6445" w:rsidRPr="008468D0">
        <w:rPr>
          <w:rFonts w:ascii="Helvetica" w:hAnsi="Helvetica" w:cs="Arial"/>
          <w:sz w:val="20"/>
          <w:szCs w:val="24"/>
          <w:lang w:val="lt-LT"/>
        </w:rPr>
        <w:t>gimdos gleivinės</w:t>
      </w:r>
      <w:r w:rsidRPr="008468D0">
        <w:rPr>
          <w:rFonts w:ascii="Helvetica" w:hAnsi="Helvetica" w:cs="Arial"/>
          <w:sz w:val="20"/>
          <w:szCs w:val="24"/>
          <w:lang w:val="lt-LT"/>
        </w:rPr>
        <w:t xml:space="preserve"> vėžio ir endometriozės.</w:t>
      </w:r>
    </w:p>
    <w:p w14:paraId="2F49C18F" w14:textId="77777777" w:rsidR="00D241E3" w:rsidRPr="008468D0" w:rsidRDefault="00D241E3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DD54D7D" w14:textId="3880AECB" w:rsidR="003D0FEF" w:rsidRPr="008468D0" w:rsidRDefault="000728A3" w:rsidP="008468D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468D0">
        <w:rPr>
          <w:rFonts w:ascii="Helvetica" w:hAnsi="Helvetica" w:cs="Arial"/>
          <w:sz w:val="20"/>
          <w:szCs w:val="24"/>
          <w:lang w:val="lt-LT"/>
        </w:rPr>
        <w:t>28.</w:t>
      </w:r>
      <w:r w:rsidR="00D241E3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Junginys arba farmacinė kompozicija, skirta naudoti pagal bet kurį iš 18</w:t>
      </w:r>
      <w:r w:rsidR="00AC6445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-</w:t>
      </w:r>
      <w:r w:rsidR="00AC6445" w:rsidRPr="008468D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468D0">
        <w:rPr>
          <w:rFonts w:ascii="Helvetica" w:hAnsi="Helvetica" w:cs="Arial"/>
          <w:sz w:val="20"/>
          <w:szCs w:val="24"/>
          <w:lang w:val="lt-LT"/>
        </w:rPr>
        <w:t>27 punktų, kur subjektas yra žmogus.</w:t>
      </w:r>
    </w:p>
    <w:p w14:paraId="0AE488BE" w14:textId="77777777" w:rsidR="003D0FEF" w:rsidRPr="008468D0" w:rsidRDefault="003D0FEF" w:rsidP="008468D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3D0FEF" w:rsidRPr="008468D0" w:rsidSect="008468D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3B47" w14:textId="77777777" w:rsidR="00F26340" w:rsidRDefault="00F26340" w:rsidP="007B0A41">
      <w:pPr>
        <w:spacing w:after="0" w:line="240" w:lineRule="auto"/>
      </w:pPr>
      <w:r>
        <w:separator/>
      </w:r>
    </w:p>
  </w:endnote>
  <w:endnote w:type="continuationSeparator" w:id="0">
    <w:p w14:paraId="0D38FEE4" w14:textId="77777777" w:rsidR="00F26340" w:rsidRDefault="00F2634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957B" w14:textId="77777777" w:rsidR="00F26340" w:rsidRDefault="00F26340" w:rsidP="007B0A41">
      <w:pPr>
        <w:spacing w:after="0" w:line="240" w:lineRule="auto"/>
      </w:pPr>
      <w:r>
        <w:separator/>
      </w:r>
    </w:p>
  </w:footnote>
  <w:footnote w:type="continuationSeparator" w:id="0">
    <w:p w14:paraId="62334CB3" w14:textId="77777777" w:rsidR="00F26340" w:rsidRDefault="00F2634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3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728A3"/>
    <w:rsid w:val="000816AE"/>
    <w:rsid w:val="00092D0B"/>
    <w:rsid w:val="00097ECC"/>
    <w:rsid w:val="000A1B5C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012F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2F7DE4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023EC"/>
    <w:rsid w:val="00412B35"/>
    <w:rsid w:val="004138E9"/>
    <w:rsid w:val="00416928"/>
    <w:rsid w:val="00431822"/>
    <w:rsid w:val="004361EB"/>
    <w:rsid w:val="00437D3F"/>
    <w:rsid w:val="00442300"/>
    <w:rsid w:val="0044327A"/>
    <w:rsid w:val="00485649"/>
    <w:rsid w:val="00490D98"/>
    <w:rsid w:val="004A61A4"/>
    <w:rsid w:val="004B6E5E"/>
    <w:rsid w:val="004C1469"/>
    <w:rsid w:val="004D6BC3"/>
    <w:rsid w:val="004D71A4"/>
    <w:rsid w:val="004E0077"/>
    <w:rsid w:val="004F35B0"/>
    <w:rsid w:val="00501F3F"/>
    <w:rsid w:val="005064F1"/>
    <w:rsid w:val="00510879"/>
    <w:rsid w:val="00520A99"/>
    <w:rsid w:val="0053198F"/>
    <w:rsid w:val="0054327A"/>
    <w:rsid w:val="00560B7D"/>
    <w:rsid w:val="00564911"/>
    <w:rsid w:val="00570509"/>
    <w:rsid w:val="00585DDD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D7CC7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0B4B"/>
    <w:rsid w:val="00841C16"/>
    <w:rsid w:val="00843F06"/>
    <w:rsid w:val="008468D0"/>
    <w:rsid w:val="00851ABA"/>
    <w:rsid w:val="008609A4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237C6"/>
    <w:rsid w:val="00A4282B"/>
    <w:rsid w:val="00A51B6C"/>
    <w:rsid w:val="00A534B9"/>
    <w:rsid w:val="00A7684A"/>
    <w:rsid w:val="00AA3A1F"/>
    <w:rsid w:val="00AC6445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1FA8"/>
    <w:rsid w:val="00BE60D0"/>
    <w:rsid w:val="00BF0F88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D23AF"/>
    <w:rsid w:val="00CE09D3"/>
    <w:rsid w:val="00CE12E8"/>
    <w:rsid w:val="00CE42D1"/>
    <w:rsid w:val="00CF70D6"/>
    <w:rsid w:val="00D15412"/>
    <w:rsid w:val="00D241E3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F01CE8"/>
    <w:rsid w:val="00F06564"/>
    <w:rsid w:val="00F26340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8" Type="http://schemas.openxmlformats.org/officeDocument/2006/relationships/image" Target="media/image3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705</Words>
  <Characters>5405</Characters>
  <Application>Microsoft Office Word</Application>
  <DocSecurity>0</DocSecurity>
  <Lines>146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2023-12-01T12:38:00Z</dcterms:created>
  <dcterms:modified xsi:type="dcterms:W3CDTF">2023-12-01T12:38:00Z</dcterms:modified>
</cp:coreProperties>
</file>