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FDF1" w14:textId="6989CFC5" w:rsidR="00662A77" w:rsidRPr="00A92EEC" w:rsidRDefault="00A92EEC" w:rsidP="00A92EEC">
      <w:pPr>
        <w:pStyle w:val="Bodytext20"/>
        <w:widowControl/>
        <w:shd w:val="clear" w:color="auto" w:fill="auto"/>
        <w:tabs>
          <w:tab w:val="left" w:pos="354"/>
        </w:tabs>
        <w:spacing w:after="0" w:line="360" w:lineRule="auto"/>
        <w:ind w:firstLine="567"/>
        <w:jc w:val="both"/>
        <w:rPr>
          <w:rFonts w:ascii="Helvetica" w:hAnsi="Helvetica"/>
          <w:sz w:val="20"/>
        </w:rPr>
      </w:pPr>
      <w:r w:rsidRPr="00A92EEC">
        <w:rPr>
          <w:rFonts w:ascii="Helvetica" w:hAnsi="Helvetica"/>
          <w:sz w:val="20"/>
        </w:rPr>
        <w:t xml:space="preserve">1. </w:t>
      </w:r>
      <w:r w:rsidR="00FA3A9A" w:rsidRPr="00A92EEC">
        <w:rPr>
          <w:rFonts w:ascii="Helvetica" w:hAnsi="Helvetica"/>
          <w:sz w:val="20"/>
        </w:rPr>
        <w:t>Farmacinė geriamoji kompozicija, sudaryta iš mažiausiai dviejų bakterijų, gautų iš išmatų mikrobiotos, kapsuliuoto mišinio, kur kapsulės yra padengtos į pH reaguojančia polimero kompozicija, apimančia:</w:t>
      </w:r>
    </w:p>
    <w:p w14:paraId="143CFA78" w14:textId="6ECB33B1" w:rsidR="00662A77" w:rsidRPr="00A92EEC" w:rsidRDefault="00A92EEC" w:rsidP="00A92EEC">
      <w:pPr>
        <w:pStyle w:val="Bodytext20"/>
        <w:widowControl/>
        <w:shd w:val="clear" w:color="auto" w:fill="auto"/>
        <w:tabs>
          <w:tab w:val="left" w:pos="1099"/>
        </w:tabs>
        <w:spacing w:after="0" w:line="360" w:lineRule="auto"/>
        <w:jc w:val="both"/>
        <w:rPr>
          <w:rFonts w:ascii="Helvetica" w:hAnsi="Helvetica"/>
          <w:sz w:val="20"/>
        </w:rPr>
      </w:pPr>
      <w:r w:rsidRPr="00A92EEC">
        <w:rPr>
          <w:rFonts w:ascii="Helvetica" w:hAnsi="Helvetica"/>
          <w:sz w:val="20"/>
        </w:rPr>
        <w:t xml:space="preserve">a. </w:t>
      </w:r>
      <w:r w:rsidR="00FA3A9A" w:rsidRPr="00A92EEC">
        <w:rPr>
          <w:rFonts w:ascii="Helvetica" w:hAnsi="Helvetica"/>
          <w:sz w:val="20"/>
        </w:rPr>
        <w:t>50-70 % poli(metilakrilato-ko-metilmetakrilato-ko-metakrilo rūgšties) 7:3:1 sauso polimero masės,</w:t>
      </w:r>
    </w:p>
    <w:p w14:paraId="02618100" w14:textId="383F1B74"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b. </w:t>
      </w:r>
      <w:r w:rsidR="00FA3A9A" w:rsidRPr="00A92EEC">
        <w:rPr>
          <w:rFonts w:ascii="Helvetica" w:hAnsi="Helvetica"/>
          <w:sz w:val="20"/>
        </w:rPr>
        <w:t xml:space="preserve">10-30 </w:t>
      </w:r>
      <w:r w:rsidR="00FA3A9A" w:rsidRPr="00A92EEC">
        <w:rPr>
          <w:rStyle w:val="Bodytext2Italic"/>
          <w:rFonts w:ascii="Helvetica" w:hAnsi="Helvetica"/>
          <w:sz w:val="20"/>
        </w:rPr>
        <w:t>%</w:t>
      </w:r>
      <w:r w:rsidR="00FA3A9A" w:rsidRPr="00A92EEC">
        <w:rPr>
          <w:rFonts w:ascii="Helvetica" w:hAnsi="Helvetica"/>
          <w:sz w:val="20"/>
        </w:rPr>
        <w:t xml:space="preserve"> poli(metakrilo rūgšties-ko-etilo akrilato) 1:1 sauso polimero masės,</w:t>
      </w:r>
    </w:p>
    <w:p w14:paraId="719E8156" w14:textId="774FF4E5"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c. </w:t>
      </w:r>
      <w:r w:rsidR="00FA3A9A" w:rsidRPr="00A92EEC">
        <w:rPr>
          <w:rFonts w:ascii="Helvetica" w:hAnsi="Helvetica"/>
          <w:sz w:val="20"/>
        </w:rPr>
        <w:t>nuo 5 iki 10 masės % bent vieno riebalų rūgšties mono-, di- arba triglicerido esterio arba jų mišinio,</w:t>
      </w:r>
    </w:p>
    <w:p w14:paraId="68D4C41E" w14:textId="1688F8B4"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d. </w:t>
      </w:r>
      <w:r w:rsidR="00FA3A9A" w:rsidRPr="00A92EEC">
        <w:rPr>
          <w:rFonts w:ascii="Helvetica" w:hAnsi="Helvetica"/>
          <w:sz w:val="20"/>
        </w:rPr>
        <w:t>nuo 5 iki 8 masės % bent vieno plastifikatoriaus,</w:t>
      </w:r>
    </w:p>
    <w:p w14:paraId="457497D4" w14:textId="08E83855"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e. </w:t>
      </w:r>
      <w:r w:rsidR="00FA3A9A" w:rsidRPr="00A92EEC">
        <w:rPr>
          <w:rFonts w:ascii="Helvetica" w:hAnsi="Helvetica"/>
          <w:sz w:val="20"/>
        </w:rPr>
        <w:t>nuo 6 iki 9 masės % bent vieno nejoninio emulsiklio.</w:t>
      </w:r>
    </w:p>
    <w:p w14:paraId="2A5715C2" w14:textId="77777777" w:rsidR="00A92EEC"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p>
    <w:p w14:paraId="24F16D32" w14:textId="15A8046F" w:rsidR="00662A77" w:rsidRPr="00A92EEC" w:rsidRDefault="00A92EEC" w:rsidP="00A92EEC">
      <w:pPr>
        <w:pStyle w:val="Bodytext20"/>
        <w:widowControl/>
        <w:shd w:val="clear" w:color="auto" w:fill="auto"/>
        <w:tabs>
          <w:tab w:val="left" w:pos="354"/>
        </w:tabs>
        <w:spacing w:after="0" w:line="360" w:lineRule="auto"/>
        <w:ind w:firstLine="567"/>
        <w:jc w:val="both"/>
        <w:rPr>
          <w:rFonts w:ascii="Helvetica" w:hAnsi="Helvetica"/>
          <w:sz w:val="20"/>
        </w:rPr>
      </w:pPr>
      <w:r w:rsidRPr="00A92EEC">
        <w:rPr>
          <w:rFonts w:ascii="Helvetica" w:hAnsi="Helvetica"/>
          <w:sz w:val="20"/>
        </w:rPr>
        <w:t xml:space="preserve">2. </w:t>
      </w:r>
      <w:r w:rsidR="00FA3A9A" w:rsidRPr="00A92EEC">
        <w:rPr>
          <w:rFonts w:ascii="Helvetica" w:hAnsi="Helvetica"/>
          <w:sz w:val="20"/>
        </w:rPr>
        <w:t>Farmacinė geriamoji kompozicija pagal 1 punktą, kur kapsulės yra padengtos į pH reaguojančia polimero kompozicija, apimančia:</w:t>
      </w:r>
    </w:p>
    <w:p w14:paraId="5CF6CE16" w14:textId="39D7575F" w:rsidR="00662A77" w:rsidRPr="00A92EEC" w:rsidRDefault="00A92EEC" w:rsidP="00A92EEC">
      <w:pPr>
        <w:pStyle w:val="Bodytext20"/>
        <w:widowControl/>
        <w:shd w:val="clear" w:color="auto" w:fill="auto"/>
        <w:tabs>
          <w:tab w:val="left" w:pos="1099"/>
        </w:tabs>
        <w:spacing w:after="0" w:line="360" w:lineRule="auto"/>
        <w:jc w:val="both"/>
        <w:rPr>
          <w:rFonts w:ascii="Helvetica" w:hAnsi="Helvetica"/>
          <w:sz w:val="20"/>
        </w:rPr>
      </w:pPr>
      <w:r w:rsidRPr="00A92EEC">
        <w:rPr>
          <w:rFonts w:ascii="Helvetica" w:hAnsi="Helvetica"/>
          <w:sz w:val="20"/>
        </w:rPr>
        <w:t xml:space="preserve">a. </w:t>
      </w:r>
      <w:r w:rsidR="00FA3A9A" w:rsidRPr="00A92EEC">
        <w:rPr>
          <w:rFonts w:ascii="Helvetica" w:hAnsi="Helvetica"/>
          <w:sz w:val="20"/>
        </w:rPr>
        <w:t>60-70 % poli(metilakrilato-ko-metilmetakrilato-ko-metakrilo rūgšties) 7:3:1 sauso polimero masės,</w:t>
      </w:r>
    </w:p>
    <w:p w14:paraId="034D014E" w14:textId="641643F9"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b. </w:t>
      </w:r>
      <w:r w:rsidR="00FA3A9A" w:rsidRPr="00A92EEC">
        <w:rPr>
          <w:rFonts w:ascii="Helvetica" w:hAnsi="Helvetica"/>
          <w:sz w:val="20"/>
        </w:rPr>
        <w:t>10-20 % poli(metakrilo rūgšties-ko-etilo akrilato) 1:1 sauso polimero masės,</w:t>
      </w:r>
    </w:p>
    <w:p w14:paraId="3C37C29C" w14:textId="11BF0A6D"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c. </w:t>
      </w:r>
      <w:r w:rsidR="00FA3A9A" w:rsidRPr="00A92EEC">
        <w:rPr>
          <w:rFonts w:ascii="Helvetica" w:hAnsi="Helvetica"/>
          <w:sz w:val="20"/>
        </w:rPr>
        <w:t>nuo 5 iki 10 masės % bent vieno riebalų rūgšties mono-, di- arba triglicerido esterio arba jų mišinio,</w:t>
      </w:r>
    </w:p>
    <w:p w14:paraId="4231BA22" w14:textId="59996051"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d. </w:t>
      </w:r>
      <w:r w:rsidR="00FA3A9A" w:rsidRPr="00A92EEC">
        <w:rPr>
          <w:rFonts w:ascii="Helvetica" w:hAnsi="Helvetica"/>
          <w:sz w:val="20"/>
        </w:rPr>
        <w:t>nuo 5 iki 8 masės % bent vieno plastifikatoriaus,</w:t>
      </w:r>
    </w:p>
    <w:p w14:paraId="08BE8492" w14:textId="42603801"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e. </w:t>
      </w:r>
      <w:r w:rsidR="00FA3A9A" w:rsidRPr="00A92EEC">
        <w:rPr>
          <w:rFonts w:ascii="Helvetica" w:hAnsi="Helvetica"/>
          <w:sz w:val="20"/>
        </w:rPr>
        <w:t>nuo 6 iki 9 masės % bent vieno nejoninio emulsiklio.</w:t>
      </w:r>
    </w:p>
    <w:p w14:paraId="62AA1739" w14:textId="77777777" w:rsidR="00A92EEC"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p>
    <w:p w14:paraId="0FF07CD4" w14:textId="06A6291F" w:rsidR="00662A77" w:rsidRPr="00A92EEC" w:rsidRDefault="00A92EEC" w:rsidP="00A92EEC">
      <w:pPr>
        <w:pStyle w:val="Bodytext20"/>
        <w:widowControl/>
        <w:shd w:val="clear" w:color="auto" w:fill="auto"/>
        <w:tabs>
          <w:tab w:val="left" w:pos="358"/>
        </w:tabs>
        <w:spacing w:after="0" w:line="360" w:lineRule="auto"/>
        <w:ind w:firstLine="567"/>
        <w:jc w:val="both"/>
        <w:rPr>
          <w:rFonts w:ascii="Helvetica" w:hAnsi="Helvetica"/>
          <w:sz w:val="20"/>
        </w:rPr>
      </w:pPr>
      <w:r w:rsidRPr="00A92EEC">
        <w:rPr>
          <w:rFonts w:ascii="Helvetica" w:hAnsi="Helvetica"/>
          <w:sz w:val="20"/>
        </w:rPr>
        <w:t xml:space="preserve">3. </w:t>
      </w:r>
      <w:r w:rsidR="00FA3A9A" w:rsidRPr="00A92EEC">
        <w:rPr>
          <w:rFonts w:ascii="Helvetica" w:hAnsi="Helvetica"/>
          <w:sz w:val="20"/>
        </w:rPr>
        <w:t>Farmacinė geriamoji kompozicija pagal 1 arba 2 punktą, kur kapsulė yra pagaminta iš hidroksipropilmetilceliuliozės.</w:t>
      </w:r>
    </w:p>
    <w:p w14:paraId="5320A5B4" w14:textId="77777777" w:rsidR="00A92EEC" w:rsidRPr="00A92EEC" w:rsidRDefault="00A92EEC" w:rsidP="00A92EEC">
      <w:pPr>
        <w:pStyle w:val="Bodytext20"/>
        <w:widowControl/>
        <w:shd w:val="clear" w:color="auto" w:fill="auto"/>
        <w:tabs>
          <w:tab w:val="left" w:pos="358"/>
        </w:tabs>
        <w:spacing w:after="0" w:line="360" w:lineRule="auto"/>
        <w:ind w:firstLine="567"/>
        <w:jc w:val="both"/>
        <w:rPr>
          <w:rFonts w:ascii="Helvetica" w:hAnsi="Helvetica"/>
          <w:sz w:val="20"/>
        </w:rPr>
      </w:pPr>
    </w:p>
    <w:p w14:paraId="17F195CD" w14:textId="4F40C35A" w:rsidR="00662A77" w:rsidRPr="00A92EEC" w:rsidRDefault="00A92EEC" w:rsidP="00A92EEC">
      <w:pPr>
        <w:pStyle w:val="Bodytext20"/>
        <w:widowControl/>
        <w:shd w:val="clear" w:color="auto" w:fill="auto"/>
        <w:tabs>
          <w:tab w:val="left" w:pos="354"/>
        </w:tabs>
        <w:spacing w:after="0" w:line="360" w:lineRule="auto"/>
        <w:ind w:firstLine="567"/>
        <w:jc w:val="both"/>
        <w:rPr>
          <w:rFonts w:ascii="Helvetica" w:hAnsi="Helvetica"/>
          <w:sz w:val="20"/>
        </w:rPr>
      </w:pPr>
      <w:r w:rsidRPr="00A92EEC">
        <w:rPr>
          <w:rFonts w:ascii="Helvetica" w:hAnsi="Helvetica"/>
          <w:sz w:val="20"/>
        </w:rPr>
        <w:t xml:space="preserve">4. </w:t>
      </w:r>
      <w:r w:rsidR="00FA3A9A" w:rsidRPr="00A92EEC">
        <w:rPr>
          <w:rFonts w:ascii="Helvetica" w:hAnsi="Helvetica"/>
          <w:sz w:val="20"/>
        </w:rPr>
        <w:t>Farmacinė geriamoji kompozicija pagal 1 arba 3 punktą, kur į pH reaguojanti polimero kompozicija apima:</w:t>
      </w:r>
    </w:p>
    <w:p w14:paraId="42D2268C" w14:textId="50857644" w:rsidR="00662A77" w:rsidRPr="00A92EEC" w:rsidRDefault="00A92EEC" w:rsidP="00A92EEC">
      <w:pPr>
        <w:pStyle w:val="Bodytext20"/>
        <w:widowControl/>
        <w:shd w:val="clear" w:color="auto" w:fill="auto"/>
        <w:tabs>
          <w:tab w:val="left" w:pos="1099"/>
        </w:tabs>
        <w:spacing w:after="0" w:line="360" w:lineRule="auto"/>
        <w:jc w:val="both"/>
        <w:rPr>
          <w:rFonts w:ascii="Helvetica" w:hAnsi="Helvetica"/>
          <w:sz w:val="20"/>
        </w:rPr>
      </w:pPr>
      <w:r w:rsidRPr="00A92EEC">
        <w:rPr>
          <w:rFonts w:ascii="Helvetica" w:hAnsi="Helvetica"/>
          <w:sz w:val="20"/>
        </w:rPr>
        <w:t xml:space="preserve">a. </w:t>
      </w:r>
      <w:r w:rsidR="00FA3A9A" w:rsidRPr="00A92EEC">
        <w:rPr>
          <w:rFonts w:ascii="Helvetica" w:hAnsi="Helvetica"/>
          <w:sz w:val="20"/>
        </w:rPr>
        <w:t>50-70 % poli(metilakrilato-ko-metilmetakrilato-ko-metakrilo rūgšties) 7:3:1 sauso polimero masės,</w:t>
      </w:r>
    </w:p>
    <w:p w14:paraId="131DA0E7" w14:textId="75A7D519"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b. </w:t>
      </w:r>
      <w:r w:rsidR="00FA3A9A" w:rsidRPr="00A92EEC">
        <w:rPr>
          <w:rFonts w:ascii="Helvetica" w:hAnsi="Helvetica"/>
          <w:sz w:val="20"/>
        </w:rPr>
        <w:t xml:space="preserve">10-30 </w:t>
      </w:r>
      <w:r w:rsidR="00FA3A9A" w:rsidRPr="00A92EEC">
        <w:rPr>
          <w:rStyle w:val="Bodytext2Italic"/>
          <w:rFonts w:ascii="Helvetica" w:hAnsi="Helvetica"/>
          <w:sz w:val="20"/>
        </w:rPr>
        <w:t>%</w:t>
      </w:r>
      <w:r w:rsidR="00FA3A9A" w:rsidRPr="00A92EEC">
        <w:rPr>
          <w:rFonts w:ascii="Helvetica" w:hAnsi="Helvetica"/>
          <w:sz w:val="20"/>
        </w:rPr>
        <w:t xml:space="preserve"> poli(metakrilo rūgšties-ko-etilo akrilato) 1:1 sauso polimero masės,</w:t>
      </w:r>
    </w:p>
    <w:p w14:paraId="72B281CD" w14:textId="7750E9F6"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c. </w:t>
      </w:r>
      <w:r w:rsidR="00FA3A9A" w:rsidRPr="00A92EEC">
        <w:rPr>
          <w:rFonts w:ascii="Helvetica" w:hAnsi="Helvetica"/>
          <w:sz w:val="20"/>
        </w:rPr>
        <w:t>nuo 5 iki 10 masės % glicerolio monostearato,</w:t>
      </w:r>
    </w:p>
    <w:p w14:paraId="452A850A" w14:textId="7E379AB1"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d. </w:t>
      </w:r>
      <w:r w:rsidR="00FA3A9A" w:rsidRPr="00A92EEC">
        <w:rPr>
          <w:rFonts w:ascii="Helvetica" w:hAnsi="Helvetica"/>
          <w:sz w:val="20"/>
        </w:rPr>
        <w:t>nuo 5 iki 8 masės % trietilo citrato,</w:t>
      </w:r>
    </w:p>
    <w:p w14:paraId="0B3EBC4F" w14:textId="1221B329"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e. </w:t>
      </w:r>
      <w:r w:rsidR="00FA3A9A" w:rsidRPr="00A92EEC">
        <w:rPr>
          <w:rFonts w:ascii="Helvetica" w:hAnsi="Helvetica"/>
          <w:sz w:val="20"/>
        </w:rPr>
        <w:t>nuo 6 iki 9 masės % bent vieno nejoninio emulsiklio, pageidautina, kurio HLB yra nuo 12 iki 16.</w:t>
      </w:r>
    </w:p>
    <w:p w14:paraId="5A4F28BE" w14:textId="77777777" w:rsidR="00A92EEC"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p>
    <w:p w14:paraId="00CAD6DA" w14:textId="7A077434" w:rsidR="00662A77" w:rsidRPr="00A92EEC" w:rsidRDefault="00A92EEC" w:rsidP="00A92EEC">
      <w:pPr>
        <w:pStyle w:val="Bodytext20"/>
        <w:widowControl/>
        <w:shd w:val="clear" w:color="auto" w:fill="auto"/>
        <w:tabs>
          <w:tab w:val="left" w:pos="354"/>
        </w:tabs>
        <w:spacing w:after="0" w:line="360" w:lineRule="auto"/>
        <w:ind w:firstLine="567"/>
        <w:jc w:val="both"/>
        <w:rPr>
          <w:rFonts w:ascii="Helvetica" w:hAnsi="Helvetica"/>
          <w:sz w:val="20"/>
        </w:rPr>
      </w:pPr>
      <w:r w:rsidRPr="00A92EEC">
        <w:rPr>
          <w:rFonts w:ascii="Helvetica" w:hAnsi="Helvetica"/>
          <w:sz w:val="20"/>
        </w:rPr>
        <w:t xml:space="preserve">5. </w:t>
      </w:r>
      <w:r w:rsidR="00FA3A9A" w:rsidRPr="00A92EEC">
        <w:rPr>
          <w:rFonts w:ascii="Helvetica" w:hAnsi="Helvetica"/>
          <w:sz w:val="20"/>
        </w:rPr>
        <w:t xml:space="preserve">Farmacinė geriamoji kompozicija pagal bet kurį iš 1-4 punktų, kur į </w:t>
      </w:r>
      <w:r w:rsidR="00FA3A9A" w:rsidRPr="00A92EEC">
        <w:rPr>
          <w:rFonts w:ascii="Helvetica" w:hAnsi="Helvetica"/>
          <w:sz w:val="20"/>
          <w:lang w:eastAsia="de-DE" w:bidi="de-DE"/>
        </w:rPr>
        <w:t xml:space="preserve">pH </w:t>
      </w:r>
      <w:r w:rsidR="00FA3A9A" w:rsidRPr="00A92EEC">
        <w:rPr>
          <w:rFonts w:ascii="Helvetica" w:hAnsi="Helvetica"/>
          <w:sz w:val="20"/>
        </w:rPr>
        <w:t>reaguojanti polimero kompozicija apima:</w:t>
      </w:r>
    </w:p>
    <w:p w14:paraId="00A12CDC" w14:textId="634EAFCD" w:rsidR="00662A77" w:rsidRPr="00A92EEC" w:rsidRDefault="00A92EEC" w:rsidP="00A92EEC">
      <w:pPr>
        <w:pStyle w:val="Bodytext20"/>
        <w:widowControl/>
        <w:shd w:val="clear" w:color="auto" w:fill="auto"/>
        <w:tabs>
          <w:tab w:val="left" w:pos="1099"/>
        </w:tabs>
        <w:spacing w:after="0" w:line="360" w:lineRule="auto"/>
        <w:jc w:val="both"/>
        <w:rPr>
          <w:rFonts w:ascii="Helvetica" w:hAnsi="Helvetica"/>
          <w:sz w:val="20"/>
        </w:rPr>
      </w:pPr>
      <w:r w:rsidRPr="00A92EEC">
        <w:rPr>
          <w:rFonts w:ascii="Helvetica" w:hAnsi="Helvetica"/>
          <w:sz w:val="20"/>
        </w:rPr>
        <w:t xml:space="preserve">a. </w:t>
      </w:r>
      <w:r w:rsidR="00FA3A9A" w:rsidRPr="00A92EEC">
        <w:rPr>
          <w:rFonts w:ascii="Helvetica" w:hAnsi="Helvetica"/>
          <w:sz w:val="20"/>
        </w:rPr>
        <w:t>60-70 % poli(metilakrilato-ko-metilmetakrilato-ko-metakrilo rūgšties) 7:3:1 sauso polimero masės,</w:t>
      </w:r>
    </w:p>
    <w:p w14:paraId="4242A839" w14:textId="0F11E79B"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b. </w:t>
      </w:r>
      <w:r w:rsidR="00FA3A9A" w:rsidRPr="00A92EEC">
        <w:rPr>
          <w:rFonts w:ascii="Helvetica" w:hAnsi="Helvetica"/>
          <w:sz w:val="20"/>
        </w:rPr>
        <w:t>10-20 % poli(metakrilo rūgšties-ko-etilo akrilato) 1:1 sauso polimero masės,</w:t>
      </w:r>
    </w:p>
    <w:p w14:paraId="123C6FCE" w14:textId="42D03294"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c. </w:t>
      </w:r>
      <w:r w:rsidR="00FA3A9A" w:rsidRPr="00A92EEC">
        <w:rPr>
          <w:rFonts w:ascii="Helvetica" w:hAnsi="Helvetica"/>
          <w:sz w:val="20"/>
        </w:rPr>
        <w:t>nuo 5 iki 10 masės % glicerolio monostearato,</w:t>
      </w:r>
    </w:p>
    <w:p w14:paraId="3399FBF1" w14:textId="2D394AE5"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d. </w:t>
      </w:r>
      <w:r w:rsidR="00FA3A9A" w:rsidRPr="00A92EEC">
        <w:rPr>
          <w:rFonts w:ascii="Helvetica" w:hAnsi="Helvetica"/>
          <w:sz w:val="20"/>
        </w:rPr>
        <w:t>nuo 5 iki 8 masės % trietilo citrato,</w:t>
      </w:r>
    </w:p>
    <w:p w14:paraId="356318AE" w14:textId="645EFA2E"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e. </w:t>
      </w:r>
      <w:r w:rsidR="00FA3A9A" w:rsidRPr="00A92EEC">
        <w:rPr>
          <w:rFonts w:ascii="Helvetica" w:hAnsi="Helvetica"/>
          <w:sz w:val="20"/>
        </w:rPr>
        <w:t>nuo 6 iki 9 masės % bent vieno nejoninio emulsiklio, pageidautina, kurio HLB yra nuo 12 iki 16.</w:t>
      </w:r>
    </w:p>
    <w:p w14:paraId="4FD0F681" w14:textId="77777777" w:rsidR="00A92EEC"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p>
    <w:p w14:paraId="35B693AB" w14:textId="7A782657" w:rsidR="00662A77" w:rsidRPr="00A92EEC" w:rsidRDefault="00A92EEC" w:rsidP="00A92EEC">
      <w:pPr>
        <w:pStyle w:val="Bodytext20"/>
        <w:widowControl/>
        <w:shd w:val="clear" w:color="auto" w:fill="auto"/>
        <w:tabs>
          <w:tab w:val="left" w:pos="349"/>
        </w:tabs>
        <w:spacing w:after="0" w:line="360" w:lineRule="auto"/>
        <w:ind w:firstLine="567"/>
        <w:jc w:val="both"/>
        <w:rPr>
          <w:rFonts w:ascii="Helvetica" w:hAnsi="Helvetica"/>
          <w:sz w:val="20"/>
        </w:rPr>
      </w:pPr>
      <w:r w:rsidRPr="00A92EEC">
        <w:rPr>
          <w:rFonts w:ascii="Helvetica" w:hAnsi="Helvetica"/>
          <w:sz w:val="20"/>
        </w:rPr>
        <w:t xml:space="preserve">6. </w:t>
      </w:r>
      <w:r w:rsidR="00FA3A9A" w:rsidRPr="00A92EEC">
        <w:rPr>
          <w:rFonts w:ascii="Helvetica" w:hAnsi="Helvetica"/>
          <w:sz w:val="20"/>
        </w:rPr>
        <w:t xml:space="preserve">Farmacinė geriamoji kompozicija pagal 5 punktą, kur į </w:t>
      </w:r>
      <w:r w:rsidR="00FA3A9A" w:rsidRPr="00A92EEC">
        <w:rPr>
          <w:rFonts w:ascii="Helvetica" w:hAnsi="Helvetica"/>
          <w:sz w:val="20"/>
          <w:lang w:eastAsia="de-DE" w:bidi="de-DE"/>
        </w:rPr>
        <w:t xml:space="preserve">pH </w:t>
      </w:r>
      <w:r w:rsidR="00FA3A9A" w:rsidRPr="00A92EEC">
        <w:rPr>
          <w:rFonts w:ascii="Helvetica" w:hAnsi="Helvetica"/>
          <w:sz w:val="20"/>
        </w:rPr>
        <w:t>reaguojanti polimero kompozicija apima:</w:t>
      </w:r>
    </w:p>
    <w:p w14:paraId="384BD366" w14:textId="18E68396" w:rsidR="00662A77" w:rsidRPr="00A92EEC" w:rsidRDefault="00A92EEC" w:rsidP="00A92EEC">
      <w:pPr>
        <w:pStyle w:val="Bodytext20"/>
        <w:widowControl/>
        <w:shd w:val="clear" w:color="auto" w:fill="auto"/>
        <w:tabs>
          <w:tab w:val="left" w:pos="1094"/>
        </w:tabs>
        <w:spacing w:after="0" w:line="360" w:lineRule="auto"/>
        <w:jc w:val="both"/>
        <w:rPr>
          <w:rFonts w:ascii="Helvetica" w:hAnsi="Helvetica"/>
          <w:sz w:val="20"/>
        </w:rPr>
      </w:pPr>
      <w:r w:rsidRPr="00A92EEC">
        <w:rPr>
          <w:rFonts w:ascii="Helvetica" w:hAnsi="Helvetica"/>
          <w:sz w:val="20"/>
        </w:rPr>
        <w:t xml:space="preserve">a. </w:t>
      </w:r>
      <w:r w:rsidR="00FA3A9A" w:rsidRPr="00A92EEC">
        <w:rPr>
          <w:rFonts w:ascii="Helvetica" w:hAnsi="Helvetica"/>
          <w:sz w:val="20"/>
        </w:rPr>
        <w:t>nuo 62 iki 66 % poli(metilakrilato-ko-metilmetakrilato-ko-metakrilo rūgšties) 7:3:1 sauso polimero masės,</w:t>
      </w:r>
    </w:p>
    <w:p w14:paraId="4FF9C672" w14:textId="5BBC20B5"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b. </w:t>
      </w:r>
      <w:r w:rsidR="00FA3A9A" w:rsidRPr="00A92EEC">
        <w:rPr>
          <w:rFonts w:ascii="Helvetica" w:hAnsi="Helvetica"/>
          <w:sz w:val="20"/>
        </w:rPr>
        <w:t>nuo 14 iki 18 % poli(metakrilo rūgšties ir ko-etilo akrilato) 1:1 sauso polimero masės,</w:t>
      </w:r>
    </w:p>
    <w:p w14:paraId="3C3EEDD0" w14:textId="5CCE8C6C"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c. </w:t>
      </w:r>
      <w:r w:rsidR="00FA3A9A" w:rsidRPr="00A92EEC">
        <w:rPr>
          <w:rFonts w:ascii="Helvetica" w:hAnsi="Helvetica"/>
          <w:sz w:val="20"/>
        </w:rPr>
        <w:t>nuo 5 iki 8 masės % glicerolio monostearato,</w:t>
      </w:r>
    </w:p>
    <w:p w14:paraId="55361BB4" w14:textId="4F3BE2B5"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d. </w:t>
      </w:r>
      <w:r w:rsidR="00FA3A9A" w:rsidRPr="00A92EEC">
        <w:rPr>
          <w:rFonts w:ascii="Helvetica" w:hAnsi="Helvetica"/>
          <w:sz w:val="20"/>
        </w:rPr>
        <w:t>nuo 5 iki 8 masės % trietilo citrato,</w:t>
      </w:r>
    </w:p>
    <w:p w14:paraId="17D1ABC0" w14:textId="533CAA5B" w:rsidR="00662A77"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r w:rsidRPr="00A92EEC">
        <w:rPr>
          <w:rFonts w:ascii="Helvetica" w:hAnsi="Helvetica"/>
          <w:sz w:val="20"/>
        </w:rPr>
        <w:t xml:space="preserve">e. </w:t>
      </w:r>
      <w:r w:rsidR="00FA3A9A" w:rsidRPr="00A92EEC">
        <w:rPr>
          <w:rFonts w:ascii="Helvetica" w:hAnsi="Helvetica"/>
          <w:sz w:val="20"/>
        </w:rPr>
        <w:t>nuo 6 iki 9 masės % polisorbato 80.</w:t>
      </w:r>
    </w:p>
    <w:p w14:paraId="36C06E0C" w14:textId="77777777" w:rsidR="00A92EEC" w:rsidRPr="00A92EEC" w:rsidRDefault="00A92EEC" w:rsidP="00A92EEC">
      <w:pPr>
        <w:pStyle w:val="Bodytext20"/>
        <w:widowControl/>
        <w:shd w:val="clear" w:color="auto" w:fill="auto"/>
        <w:tabs>
          <w:tab w:val="left" w:pos="1118"/>
        </w:tabs>
        <w:spacing w:after="0" w:line="360" w:lineRule="auto"/>
        <w:jc w:val="both"/>
        <w:rPr>
          <w:rFonts w:ascii="Helvetica" w:hAnsi="Helvetica"/>
          <w:sz w:val="20"/>
        </w:rPr>
      </w:pPr>
    </w:p>
    <w:p w14:paraId="61B692AE" w14:textId="4F62705D" w:rsidR="00662A77" w:rsidRPr="00A92EEC" w:rsidRDefault="00FA3A9A" w:rsidP="00A92EEC">
      <w:pPr>
        <w:pStyle w:val="Bodytext20"/>
        <w:widowControl/>
        <w:shd w:val="clear" w:color="auto" w:fill="auto"/>
        <w:spacing w:after="0" w:line="360" w:lineRule="auto"/>
        <w:ind w:firstLine="567"/>
        <w:jc w:val="both"/>
        <w:rPr>
          <w:rFonts w:ascii="Helvetica" w:hAnsi="Helvetica"/>
          <w:sz w:val="20"/>
        </w:rPr>
      </w:pPr>
      <w:r w:rsidRPr="00A92EEC">
        <w:rPr>
          <w:rFonts w:ascii="Helvetica" w:hAnsi="Helvetica"/>
          <w:sz w:val="20"/>
        </w:rPr>
        <w:lastRenderedPageBreak/>
        <w:t>7</w:t>
      </w:r>
      <w:r w:rsidR="00A92EEC" w:rsidRPr="00A92EEC">
        <w:rPr>
          <w:rFonts w:ascii="Helvetica" w:hAnsi="Helvetica"/>
          <w:sz w:val="20"/>
        </w:rPr>
        <w:t xml:space="preserve">. </w:t>
      </w:r>
      <w:r w:rsidRPr="00A92EEC">
        <w:rPr>
          <w:rFonts w:ascii="Helvetica" w:hAnsi="Helvetica"/>
          <w:sz w:val="20"/>
        </w:rPr>
        <w:t>Farmacinė geriamoji kompozicija pagal bet kurį iš 1-6 punktų, kur mažiausiai dviejų bakterijų, gautų iš išmatų mikrobiotos, kapsuliuotas mišinys apima visą išmatų mikrobiotą iš vieno arba daugiau donorų.</w:t>
      </w:r>
    </w:p>
    <w:p w14:paraId="3B20B02B" w14:textId="77777777" w:rsidR="00A92EEC" w:rsidRPr="00A92EEC" w:rsidRDefault="00A92EEC" w:rsidP="00A92EEC">
      <w:pPr>
        <w:pStyle w:val="Bodytext20"/>
        <w:widowControl/>
        <w:shd w:val="clear" w:color="auto" w:fill="auto"/>
        <w:spacing w:after="0" w:line="360" w:lineRule="auto"/>
        <w:ind w:firstLine="567"/>
        <w:jc w:val="both"/>
        <w:rPr>
          <w:rFonts w:ascii="Helvetica" w:hAnsi="Helvetica"/>
          <w:sz w:val="20"/>
        </w:rPr>
      </w:pPr>
    </w:p>
    <w:p w14:paraId="7C51A20C" w14:textId="77777777" w:rsidR="00FA3A9A" w:rsidRDefault="00A92EEC" w:rsidP="00FA3A9A">
      <w:pPr>
        <w:pStyle w:val="Bodytext20"/>
        <w:widowControl/>
        <w:shd w:val="clear" w:color="auto" w:fill="auto"/>
        <w:tabs>
          <w:tab w:val="left" w:pos="378"/>
        </w:tabs>
        <w:spacing w:after="0" w:line="360" w:lineRule="auto"/>
        <w:ind w:firstLine="567"/>
        <w:jc w:val="both"/>
        <w:rPr>
          <w:rFonts w:ascii="Helvetica" w:hAnsi="Helvetica"/>
          <w:sz w:val="20"/>
        </w:rPr>
      </w:pPr>
      <w:r w:rsidRPr="00A92EEC">
        <w:rPr>
          <w:rFonts w:ascii="Helvetica" w:hAnsi="Helvetica"/>
          <w:sz w:val="20"/>
        </w:rPr>
        <w:t xml:space="preserve">8. </w:t>
      </w:r>
      <w:r w:rsidR="00FA3A9A" w:rsidRPr="00A92EEC">
        <w:rPr>
          <w:rFonts w:ascii="Helvetica" w:hAnsi="Helvetica"/>
          <w:sz w:val="20"/>
        </w:rPr>
        <w:t>Farmacinė geriamoji kompozicija pagal bet kurį iš 1-7 punktų, kur mišinys yra liofilizato formoje.</w:t>
      </w:r>
    </w:p>
    <w:p w14:paraId="5F90FEAA" w14:textId="77777777" w:rsidR="00FA3A9A" w:rsidRDefault="00FA3A9A" w:rsidP="00FA3A9A">
      <w:pPr>
        <w:pStyle w:val="Bodytext20"/>
        <w:widowControl/>
        <w:shd w:val="clear" w:color="auto" w:fill="auto"/>
        <w:tabs>
          <w:tab w:val="left" w:pos="378"/>
        </w:tabs>
        <w:spacing w:after="0" w:line="360" w:lineRule="auto"/>
        <w:ind w:firstLine="567"/>
        <w:jc w:val="both"/>
        <w:rPr>
          <w:rFonts w:ascii="Helvetica" w:hAnsi="Helvetica"/>
          <w:sz w:val="20"/>
        </w:rPr>
      </w:pPr>
    </w:p>
    <w:p w14:paraId="216A55BB" w14:textId="62C2A06A" w:rsidR="00662A77" w:rsidRPr="00A92EEC" w:rsidRDefault="00A92EEC" w:rsidP="00FA3A9A">
      <w:pPr>
        <w:pStyle w:val="Bodytext20"/>
        <w:widowControl/>
        <w:shd w:val="clear" w:color="auto" w:fill="auto"/>
        <w:tabs>
          <w:tab w:val="left" w:pos="378"/>
        </w:tabs>
        <w:spacing w:after="0" w:line="360" w:lineRule="auto"/>
        <w:ind w:firstLine="567"/>
        <w:jc w:val="both"/>
        <w:rPr>
          <w:rFonts w:ascii="Helvetica" w:hAnsi="Helvetica"/>
          <w:sz w:val="20"/>
        </w:rPr>
      </w:pPr>
      <w:r w:rsidRPr="00A92EEC">
        <w:rPr>
          <w:rFonts w:ascii="Helvetica" w:hAnsi="Helvetica"/>
          <w:sz w:val="20"/>
        </w:rPr>
        <w:t xml:space="preserve">9. </w:t>
      </w:r>
      <w:r w:rsidR="00FA3A9A" w:rsidRPr="00A92EEC">
        <w:rPr>
          <w:rFonts w:ascii="Helvetica" w:hAnsi="Helvetica"/>
          <w:sz w:val="20"/>
        </w:rPr>
        <w:t>Farmacinė geriamoji kompozicija pagal 8 punktą, kur liofilizatas buvo pagamintas šiais etapais:</w:t>
      </w:r>
    </w:p>
    <w:p w14:paraId="0767AABF" w14:textId="1BA8D782" w:rsidR="00662A77" w:rsidRPr="00A92EEC" w:rsidRDefault="00A92EEC" w:rsidP="00A92EEC">
      <w:pPr>
        <w:pStyle w:val="Bodytext20"/>
        <w:widowControl/>
        <w:shd w:val="clear" w:color="auto" w:fill="auto"/>
        <w:tabs>
          <w:tab w:val="left" w:pos="1150"/>
        </w:tabs>
        <w:spacing w:after="0" w:line="360" w:lineRule="auto"/>
        <w:jc w:val="both"/>
        <w:rPr>
          <w:rFonts w:ascii="Helvetica" w:hAnsi="Helvetica"/>
          <w:sz w:val="20"/>
        </w:rPr>
      </w:pPr>
      <w:r>
        <w:rPr>
          <w:rFonts w:ascii="Helvetica" w:hAnsi="Helvetica"/>
          <w:sz w:val="20"/>
        </w:rPr>
        <w:t xml:space="preserve">A) </w:t>
      </w:r>
      <w:r w:rsidR="00FA3A9A" w:rsidRPr="00A92EEC">
        <w:rPr>
          <w:rFonts w:ascii="Helvetica" w:hAnsi="Helvetica"/>
          <w:sz w:val="20"/>
        </w:rPr>
        <w:t xml:space="preserve">išmatų mikrobiotos mėginio sumaišymo su skiedikliu, pasirinktu iš poliolio, </w:t>
      </w:r>
      <w:r w:rsidR="00FA3A9A" w:rsidRPr="00A92EEC">
        <w:rPr>
          <w:rFonts w:ascii="Helvetica" w:hAnsi="Helvetica"/>
          <w:sz w:val="20"/>
          <w:lang w:eastAsia="de-DE" w:bidi="de-DE"/>
        </w:rPr>
        <w:t xml:space="preserve">di-, </w:t>
      </w:r>
      <w:r w:rsidR="00FA3A9A" w:rsidRPr="00A92EEC">
        <w:rPr>
          <w:rFonts w:ascii="Helvetica" w:hAnsi="Helvetica"/>
          <w:sz w:val="20"/>
        </w:rPr>
        <w:t>tri- arba polisacharido arba jų mišinių ir užpildo, santykiu nuo 1:1 iki 1:10,</w:t>
      </w:r>
    </w:p>
    <w:p w14:paraId="2F0E23A0" w14:textId="3A35C5CF" w:rsidR="00662A77" w:rsidRPr="00A92EEC" w:rsidRDefault="00A92EEC" w:rsidP="00A92EEC">
      <w:pPr>
        <w:pStyle w:val="Bodytext20"/>
        <w:widowControl/>
        <w:shd w:val="clear" w:color="auto" w:fill="auto"/>
        <w:tabs>
          <w:tab w:val="left" w:pos="1150"/>
        </w:tabs>
        <w:spacing w:after="0" w:line="360" w:lineRule="auto"/>
        <w:jc w:val="both"/>
        <w:rPr>
          <w:rFonts w:ascii="Helvetica" w:hAnsi="Helvetica"/>
          <w:sz w:val="20"/>
        </w:rPr>
      </w:pPr>
      <w:r>
        <w:rPr>
          <w:rFonts w:ascii="Helvetica" w:hAnsi="Helvetica"/>
          <w:sz w:val="20"/>
        </w:rPr>
        <w:t xml:space="preserve">B) </w:t>
      </w:r>
      <w:r w:rsidR="00FA3A9A" w:rsidRPr="00A92EEC">
        <w:rPr>
          <w:rFonts w:ascii="Helvetica" w:hAnsi="Helvetica"/>
          <w:sz w:val="20"/>
        </w:rPr>
        <w:t>A) gauto mišinio užšaldymo ir vėlesnio jo liofilizavimo.</w:t>
      </w:r>
    </w:p>
    <w:p w14:paraId="2A814AB3" w14:textId="77777777" w:rsidR="00A92EEC" w:rsidRPr="00A92EEC" w:rsidRDefault="00A92EEC" w:rsidP="00FA3A9A">
      <w:pPr>
        <w:pStyle w:val="Bodytext20"/>
        <w:widowControl/>
        <w:shd w:val="clear" w:color="auto" w:fill="auto"/>
        <w:tabs>
          <w:tab w:val="left" w:pos="1150"/>
        </w:tabs>
        <w:spacing w:after="0" w:line="360" w:lineRule="auto"/>
        <w:jc w:val="both"/>
        <w:rPr>
          <w:rFonts w:ascii="Helvetica" w:hAnsi="Helvetica"/>
          <w:sz w:val="20"/>
        </w:rPr>
      </w:pPr>
    </w:p>
    <w:p w14:paraId="4C797A7B" w14:textId="0642E52E" w:rsidR="00662A77" w:rsidRPr="00A92EEC" w:rsidRDefault="00A92EEC" w:rsidP="00A92EEC">
      <w:pPr>
        <w:pStyle w:val="Bodytext20"/>
        <w:widowControl/>
        <w:shd w:val="clear" w:color="auto" w:fill="auto"/>
        <w:tabs>
          <w:tab w:val="left" w:pos="424"/>
        </w:tabs>
        <w:spacing w:after="0" w:line="360" w:lineRule="auto"/>
        <w:ind w:firstLine="567"/>
        <w:jc w:val="both"/>
        <w:rPr>
          <w:rFonts w:ascii="Helvetica" w:hAnsi="Helvetica"/>
          <w:sz w:val="20"/>
        </w:rPr>
      </w:pPr>
      <w:r w:rsidRPr="00A92EEC">
        <w:rPr>
          <w:rFonts w:ascii="Helvetica" w:hAnsi="Helvetica"/>
          <w:sz w:val="20"/>
        </w:rPr>
        <w:t xml:space="preserve">10. </w:t>
      </w:r>
      <w:r w:rsidR="00FA3A9A" w:rsidRPr="00A92EEC">
        <w:rPr>
          <w:rFonts w:ascii="Helvetica" w:hAnsi="Helvetica"/>
          <w:sz w:val="20"/>
        </w:rPr>
        <w:t>geriamoji kompozicija pagal bet kurį iš 1-9 punktų, kur kompozicija apima mažiausiai dviejų, arba trijų, arba keturių, arba penkių, arba šešių, arba septynių, arba aštuonių, arba devynių arba dešimties bakterijų, gautų iš išmatų mikrobiotos, mišinį.</w:t>
      </w:r>
    </w:p>
    <w:p w14:paraId="62A9CA52" w14:textId="77777777" w:rsidR="00A92EEC" w:rsidRPr="00A92EEC" w:rsidRDefault="00A92EEC" w:rsidP="00A92EEC">
      <w:pPr>
        <w:pStyle w:val="Bodytext20"/>
        <w:widowControl/>
        <w:shd w:val="clear" w:color="auto" w:fill="auto"/>
        <w:tabs>
          <w:tab w:val="left" w:pos="424"/>
        </w:tabs>
        <w:spacing w:after="0" w:line="360" w:lineRule="auto"/>
        <w:ind w:firstLine="567"/>
        <w:jc w:val="both"/>
        <w:rPr>
          <w:rFonts w:ascii="Helvetica" w:hAnsi="Helvetica"/>
          <w:sz w:val="20"/>
        </w:rPr>
      </w:pPr>
    </w:p>
    <w:p w14:paraId="6B5C93DA" w14:textId="3BE47348" w:rsidR="00662A77" w:rsidRPr="00A92EEC" w:rsidRDefault="00A92EEC" w:rsidP="00A92EEC">
      <w:pPr>
        <w:pStyle w:val="Bodytext20"/>
        <w:widowControl/>
        <w:shd w:val="clear" w:color="auto" w:fill="auto"/>
        <w:tabs>
          <w:tab w:val="left" w:pos="424"/>
        </w:tabs>
        <w:spacing w:after="0" w:line="360" w:lineRule="auto"/>
        <w:ind w:firstLine="567"/>
        <w:jc w:val="both"/>
        <w:rPr>
          <w:rFonts w:ascii="Helvetica" w:hAnsi="Helvetica"/>
          <w:sz w:val="20"/>
        </w:rPr>
      </w:pPr>
      <w:r w:rsidRPr="00A92EEC">
        <w:rPr>
          <w:rFonts w:ascii="Helvetica" w:hAnsi="Helvetica"/>
          <w:sz w:val="20"/>
        </w:rPr>
        <w:t xml:space="preserve">11. </w:t>
      </w:r>
      <w:r w:rsidR="00FA3A9A" w:rsidRPr="00A92EEC">
        <w:rPr>
          <w:rFonts w:ascii="Helvetica" w:hAnsi="Helvetica"/>
          <w:sz w:val="20"/>
        </w:rPr>
        <w:t xml:space="preserve">Farmacinė geriamoji kompozicija pagal </w:t>
      </w:r>
      <w:r w:rsidR="00FA3A9A" w:rsidRPr="00A92EEC">
        <w:rPr>
          <w:rFonts w:ascii="Helvetica" w:hAnsi="Helvetica"/>
          <w:sz w:val="20"/>
          <w:lang w:eastAsia="en-US" w:bidi="en-US"/>
        </w:rPr>
        <w:t xml:space="preserve">bet </w:t>
      </w:r>
      <w:r w:rsidR="00FA3A9A" w:rsidRPr="00A92EEC">
        <w:rPr>
          <w:rFonts w:ascii="Helvetica" w:hAnsi="Helvetica"/>
          <w:sz w:val="20"/>
        </w:rPr>
        <w:t>kurį iš 1 -10 punktų, kur kompozicija apima visą išmatų mikrobiotą arba modifikuotą išmatų mikrobiotą.</w:t>
      </w:r>
    </w:p>
    <w:p w14:paraId="3B25C6E5" w14:textId="77777777" w:rsidR="00A92EEC" w:rsidRPr="00A92EEC" w:rsidRDefault="00A92EEC" w:rsidP="00A92EEC">
      <w:pPr>
        <w:pStyle w:val="Bodytext20"/>
        <w:widowControl/>
        <w:shd w:val="clear" w:color="auto" w:fill="auto"/>
        <w:tabs>
          <w:tab w:val="left" w:pos="424"/>
        </w:tabs>
        <w:spacing w:after="0" w:line="360" w:lineRule="auto"/>
        <w:ind w:firstLine="567"/>
        <w:jc w:val="both"/>
        <w:rPr>
          <w:rFonts w:ascii="Helvetica" w:hAnsi="Helvetica"/>
          <w:sz w:val="20"/>
        </w:rPr>
      </w:pPr>
    </w:p>
    <w:p w14:paraId="59A103DC" w14:textId="6593EA1D" w:rsidR="00662A77" w:rsidRPr="00A92EEC" w:rsidRDefault="00A92EEC" w:rsidP="00A92EEC">
      <w:pPr>
        <w:pStyle w:val="Bodytext20"/>
        <w:widowControl/>
        <w:shd w:val="clear" w:color="auto" w:fill="auto"/>
        <w:tabs>
          <w:tab w:val="left" w:pos="419"/>
        </w:tabs>
        <w:spacing w:after="0" w:line="360" w:lineRule="auto"/>
        <w:ind w:firstLine="567"/>
        <w:jc w:val="both"/>
        <w:rPr>
          <w:rFonts w:ascii="Helvetica" w:hAnsi="Helvetica"/>
          <w:sz w:val="20"/>
        </w:rPr>
      </w:pPr>
      <w:r w:rsidRPr="00A92EEC">
        <w:rPr>
          <w:rFonts w:ascii="Helvetica" w:hAnsi="Helvetica"/>
          <w:sz w:val="20"/>
        </w:rPr>
        <w:t xml:space="preserve">12. </w:t>
      </w:r>
      <w:r w:rsidR="00FA3A9A" w:rsidRPr="00A92EEC">
        <w:rPr>
          <w:rFonts w:ascii="Helvetica" w:hAnsi="Helvetica"/>
          <w:sz w:val="20"/>
        </w:rPr>
        <w:t>Farmacinė geriamoji kompozicija pagal 11 punktą, skirta naudoti autologinėje arba alogeninėje išmatų mikrobiotos transplantacijoje, arba skirta naudoti autologinėje arba alogeninėje modifikuotų išmatų mikrobiotos transplantacijoje.</w:t>
      </w:r>
    </w:p>
    <w:p w14:paraId="09019E3D" w14:textId="77777777" w:rsidR="00A92EEC" w:rsidRPr="00A92EEC" w:rsidRDefault="00A92EEC" w:rsidP="00A92EEC">
      <w:pPr>
        <w:pStyle w:val="Bodytext20"/>
        <w:widowControl/>
        <w:shd w:val="clear" w:color="auto" w:fill="auto"/>
        <w:tabs>
          <w:tab w:val="left" w:pos="419"/>
        </w:tabs>
        <w:spacing w:after="0" w:line="360" w:lineRule="auto"/>
        <w:ind w:firstLine="567"/>
        <w:jc w:val="both"/>
        <w:rPr>
          <w:rFonts w:ascii="Helvetica" w:hAnsi="Helvetica"/>
          <w:sz w:val="20"/>
        </w:rPr>
      </w:pPr>
    </w:p>
    <w:p w14:paraId="111DFDE5" w14:textId="3CE99D38" w:rsidR="00662A77" w:rsidRPr="00A92EEC" w:rsidRDefault="00A92EEC" w:rsidP="00A92EEC">
      <w:pPr>
        <w:pStyle w:val="Bodytext20"/>
        <w:widowControl/>
        <w:shd w:val="clear" w:color="auto" w:fill="auto"/>
        <w:tabs>
          <w:tab w:val="left" w:pos="419"/>
        </w:tabs>
        <w:spacing w:after="0" w:line="360" w:lineRule="auto"/>
        <w:ind w:firstLine="567"/>
        <w:jc w:val="both"/>
        <w:rPr>
          <w:rFonts w:ascii="Helvetica" w:hAnsi="Helvetica"/>
          <w:sz w:val="20"/>
        </w:rPr>
      </w:pPr>
      <w:r w:rsidRPr="00A92EEC">
        <w:rPr>
          <w:rFonts w:ascii="Helvetica" w:hAnsi="Helvetica"/>
          <w:sz w:val="20"/>
        </w:rPr>
        <w:t xml:space="preserve">13. </w:t>
      </w:r>
      <w:r w:rsidR="00FA3A9A" w:rsidRPr="00A92EEC">
        <w:rPr>
          <w:rFonts w:ascii="Helvetica" w:hAnsi="Helvetica"/>
          <w:sz w:val="20"/>
        </w:rPr>
        <w:t>Farmacinė geriamoji kompozicija pagal bet kurį iš 1-12 punktų, skirta naudoti žarnyno disbiozės ir susijusių patologijų gydymui arba prevencijai.</w:t>
      </w:r>
    </w:p>
    <w:p w14:paraId="5514B175" w14:textId="77777777" w:rsidR="00A92EEC" w:rsidRPr="00A92EEC" w:rsidRDefault="00A92EEC" w:rsidP="00A92EEC">
      <w:pPr>
        <w:pStyle w:val="Bodytext20"/>
        <w:widowControl/>
        <w:shd w:val="clear" w:color="auto" w:fill="auto"/>
        <w:tabs>
          <w:tab w:val="left" w:pos="419"/>
        </w:tabs>
        <w:spacing w:after="0" w:line="360" w:lineRule="auto"/>
        <w:ind w:firstLine="567"/>
        <w:jc w:val="both"/>
        <w:rPr>
          <w:rFonts w:ascii="Helvetica" w:hAnsi="Helvetica"/>
          <w:sz w:val="20"/>
        </w:rPr>
      </w:pPr>
    </w:p>
    <w:p w14:paraId="46A1EE0B" w14:textId="1B0F5ECD" w:rsidR="00662A77" w:rsidRPr="00A92EEC" w:rsidRDefault="00A92EEC" w:rsidP="00A92EEC">
      <w:pPr>
        <w:pStyle w:val="Bodytext20"/>
        <w:widowControl/>
        <w:shd w:val="clear" w:color="auto" w:fill="auto"/>
        <w:tabs>
          <w:tab w:val="left" w:pos="429"/>
        </w:tabs>
        <w:spacing w:after="0" w:line="360" w:lineRule="auto"/>
        <w:ind w:firstLine="567"/>
        <w:jc w:val="both"/>
        <w:rPr>
          <w:rFonts w:ascii="Helvetica" w:hAnsi="Helvetica"/>
          <w:sz w:val="20"/>
        </w:rPr>
      </w:pPr>
      <w:r w:rsidRPr="00A92EEC">
        <w:rPr>
          <w:rFonts w:ascii="Helvetica" w:hAnsi="Helvetica"/>
          <w:sz w:val="20"/>
        </w:rPr>
        <w:t xml:space="preserve">14. </w:t>
      </w:r>
      <w:r w:rsidR="00FA3A9A" w:rsidRPr="00A92EEC">
        <w:rPr>
          <w:rFonts w:ascii="Helvetica" w:hAnsi="Helvetica"/>
          <w:sz w:val="20"/>
        </w:rPr>
        <w:t>Farmacinė geriamoji kompozicija pagal bet kurį iš 1-12 punktų, skirta naudoti jatrogeninės žarnyno disbiozės ir susijusių patologijų bei komplikacijų, įskaitant sepsį, sepsinį šoką ir virškinimo trakto sutrikimus, įskaitant viduriavimą, mukozitą, pilvo skausmą, kraujavimą iš virškinimo trakto, prevencijai arba gydymui.</w:t>
      </w:r>
    </w:p>
    <w:p w14:paraId="1A3F98C8" w14:textId="77777777" w:rsidR="00A92EEC" w:rsidRPr="00A92EEC" w:rsidRDefault="00A92EEC" w:rsidP="00A92EEC">
      <w:pPr>
        <w:pStyle w:val="Bodytext20"/>
        <w:widowControl/>
        <w:shd w:val="clear" w:color="auto" w:fill="auto"/>
        <w:tabs>
          <w:tab w:val="left" w:pos="429"/>
        </w:tabs>
        <w:spacing w:after="0" w:line="360" w:lineRule="auto"/>
        <w:ind w:firstLine="567"/>
        <w:jc w:val="both"/>
        <w:rPr>
          <w:rFonts w:ascii="Helvetica" w:hAnsi="Helvetica"/>
          <w:sz w:val="20"/>
        </w:rPr>
      </w:pPr>
    </w:p>
    <w:p w14:paraId="317308F4" w14:textId="0397110E" w:rsidR="00662A77" w:rsidRPr="00A92EEC" w:rsidRDefault="00A92EEC" w:rsidP="00DD399B">
      <w:pPr>
        <w:pStyle w:val="Bodytext20"/>
        <w:widowControl/>
        <w:shd w:val="clear" w:color="auto" w:fill="auto"/>
        <w:tabs>
          <w:tab w:val="left" w:pos="429"/>
        </w:tabs>
        <w:spacing w:after="0" w:line="360" w:lineRule="auto"/>
        <w:ind w:firstLine="567"/>
        <w:jc w:val="both"/>
        <w:rPr>
          <w:rFonts w:ascii="Helvetica" w:hAnsi="Helvetica"/>
          <w:sz w:val="20"/>
        </w:rPr>
      </w:pPr>
      <w:r w:rsidRPr="00A92EEC">
        <w:rPr>
          <w:rFonts w:ascii="Helvetica" w:hAnsi="Helvetica"/>
          <w:sz w:val="20"/>
        </w:rPr>
        <w:t xml:space="preserve">15. </w:t>
      </w:r>
      <w:r w:rsidR="00FA3A9A" w:rsidRPr="00A92EEC">
        <w:rPr>
          <w:rFonts w:ascii="Helvetica" w:hAnsi="Helvetica"/>
          <w:sz w:val="20"/>
        </w:rPr>
        <w:t xml:space="preserve">Farmacinė geriamoji kompozicija, skirta naudoti pagal 13 arba 14 punktą, kur susijusios patologijos yra parinktos iš </w:t>
      </w:r>
      <w:r w:rsidR="00FA3A9A" w:rsidRPr="00A92EEC">
        <w:rPr>
          <w:rStyle w:val="Bodytext2Italic"/>
          <w:rFonts w:ascii="Helvetica" w:hAnsi="Helvetica"/>
          <w:sz w:val="20"/>
          <w:lang w:eastAsia="de-DE" w:bidi="de-DE"/>
        </w:rPr>
        <w:t xml:space="preserve">Clostridium </w:t>
      </w:r>
      <w:r w:rsidR="00FA3A9A" w:rsidRPr="00A92EEC">
        <w:rPr>
          <w:rStyle w:val="Bodytext2Italic"/>
          <w:rFonts w:ascii="Helvetica" w:hAnsi="Helvetica"/>
          <w:sz w:val="20"/>
          <w:lang w:eastAsia="en-US" w:bidi="en-US"/>
        </w:rPr>
        <w:t>difficile</w:t>
      </w:r>
      <w:r w:rsidR="00FA3A9A" w:rsidRPr="00A92EEC">
        <w:rPr>
          <w:rFonts w:ascii="Helvetica" w:hAnsi="Helvetica"/>
          <w:sz w:val="20"/>
          <w:lang w:eastAsia="en-US" w:bidi="en-US"/>
        </w:rPr>
        <w:t xml:space="preserve"> </w:t>
      </w:r>
      <w:r w:rsidR="00FA3A9A" w:rsidRPr="00A92EEC">
        <w:rPr>
          <w:rFonts w:ascii="Helvetica" w:hAnsi="Helvetica"/>
          <w:sz w:val="20"/>
        </w:rPr>
        <w:t>infekcijos ir susijusio viduriavimo (CDI), uždegiminės žarnyno ligos (IBD), dirgliosios žarnos sindromo (IBS), idiopatinio vidurių</w:t>
      </w:r>
      <w:r w:rsidR="00DD399B">
        <w:rPr>
          <w:rFonts w:ascii="Helvetica" w:hAnsi="Helvetica"/>
          <w:sz w:val="20"/>
        </w:rPr>
        <w:t xml:space="preserve"> </w:t>
      </w:r>
      <w:r w:rsidR="00FA3A9A" w:rsidRPr="00A92EEC">
        <w:rPr>
          <w:rFonts w:ascii="Helvetica" w:hAnsi="Helvetica"/>
          <w:sz w:val="20"/>
        </w:rPr>
        <w:t>užkietėjimo, celiakijos, Krono ligos, II tipo diabeto, alergijos maistui, vėžio, įskaitant leukemiją, refraktorinės transplantato prieš šeimininką ligos, nutukimo ir liguisto nutukimo, autizmo, sklerozės, keliautojų viduriavimo, lėtinės makšties infekcijos (įskaitant cistitą, mikozes), kaulų ir sąnarių infekcijų, Parkinsono ligos, Alzheimerio ligos, šizofrenijos ir bipolinių sutrikimų bei žarnyno disbiozės, susijusios su priešvėžine chemoterapija arba imunoterapija.</w:t>
      </w:r>
    </w:p>
    <w:p w14:paraId="48B361D5" w14:textId="77777777" w:rsidR="00A92EEC" w:rsidRPr="00A92EEC" w:rsidRDefault="00A92EEC" w:rsidP="00A92EEC">
      <w:pPr>
        <w:pStyle w:val="Bodytext20"/>
        <w:widowControl/>
        <w:shd w:val="clear" w:color="auto" w:fill="auto"/>
        <w:spacing w:after="0" w:line="360" w:lineRule="auto"/>
        <w:jc w:val="both"/>
        <w:rPr>
          <w:rFonts w:ascii="Helvetica" w:hAnsi="Helvetica"/>
          <w:sz w:val="20"/>
        </w:rPr>
      </w:pPr>
    </w:p>
    <w:p w14:paraId="252B5926" w14:textId="1E79B0BF" w:rsidR="00662A77" w:rsidRPr="00A92EEC" w:rsidRDefault="00A92EEC" w:rsidP="00A92EEC">
      <w:pPr>
        <w:pStyle w:val="Bodytext20"/>
        <w:widowControl/>
        <w:shd w:val="clear" w:color="auto" w:fill="auto"/>
        <w:tabs>
          <w:tab w:val="left" w:pos="447"/>
        </w:tabs>
        <w:spacing w:after="0" w:line="360" w:lineRule="auto"/>
        <w:ind w:firstLine="567"/>
        <w:jc w:val="both"/>
        <w:rPr>
          <w:rFonts w:ascii="Helvetica" w:hAnsi="Helvetica"/>
          <w:sz w:val="20"/>
        </w:rPr>
      </w:pPr>
      <w:r w:rsidRPr="00A92EEC">
        <w:rPr>
          <w:rFonts w:ascii="Helvetica" w:hAnsi="Helvetica"/>
          <w:sz w:val="20"/>
        </w:rPr>
        <w:t xml:space="preserve">16. </w:t>
      </w:r>
      <w:r w:rsidR="00FA3A9A" w:rsidRPr="00A92EEC">
        <w:rPr>
          <w:rFonts w:ascii="Helvetica" w:hAnsi="Helvetica"/>
          <w:sz w:val="20"/>
        </w:rPr>
        <w:t xml:space="preserve">Farmacinė geriamoji kompozicija pagal bet kurį iš 1-12 punktų, skirta naudoti uždegiminės žarnyno ligos (IBD) gydymui arba profilaktikai, kur kompozicija apima </w:t>
      </w:r>
      <w:r w:rsidR="00FA3A9A" w:rsidRPr="00A92EEC">
        <w:rPr>
          <w:rStyle w:val="Bodytext2Italic"/>
          <w:rFonts w:ascii="Helvetica" w:hAnsi="Helvetica"/>
          <w:sz w:val="20"/>
        </w:rPr>
        <w:t xml:space="preserve">Faecalibacterium </w:t>
      </w:r>
      <w:r w:rsidR="00FA3A9A" w:rsidRPr="00A92EEC">
        <w:rPr>
          <w:rStyle w:val="Bodytext2Italic"/>
          <w:rFonts w:ascii="Helvetica" w:hAnsi="Helvetica"/>
          <w:sz w:val="20"/>
          <w:lang w:eastAsia="de-DE" w:bidi="de-DE"/>
        </w:rPr>
        <w:t xml:space="preserve">prausnitzii, </w:t>
      </w:r>
      <w:r w:rsidR="00FA3A9A" w:rsidRPr="00A92EEC">
        <w:rPr>
          <w:rStyle w:val="Bodytext2Italic"/>
          <w:rFonts w:ascii="Helvetica" w:hAnsi="Helvetica"/>
          <w:sz w:val="20"/>
        </w:rPr>
        <w:t xml:space="preserve">Bacteroides fragilis, Roseburia </w:t>
      </w:r>
      <w:r w:rsidR="00FA3A9A" w:rsidRPr="00A92EEC">
        <w:rPr>
          <w:rStyle w:val="Bodytext2Italic"/>
          <w:rFonts w:ascii="Helvetica" w:hAnsi="Helvetica"/>
          <w:sz w:val="20"/>
          <w:lang w:eastAsia="de-DE" w:bidi="de-DE"/>
        </w:rPr>
        <w:t xml:space="preserve">intestinalis, </w:t>
      </w:r>
      <w:r w:rsidR="00FA3A9A" w:rsidRPr="00A92EEC">
        <w:rPr>
          <w:rStyle w:val="Bodytext2Italic"/>
          <w:rFonts w:ascii="Helvetica" w:hAnsi="Helvetica"/>
          <w:sz w:val="20"/>
        </w:rPr>
        <w:t xml:space="preserve">Roseburia </w:t>
      </w:r>
      <w:r w:rsidR="00FA3A9A" w:rsidRPr="00A92EEC">
        <w:rPr>
          <w:rStyle w:val="Bodytext2Italic"/>
          <w:rFonts w:ascii="Helvetica" w:hAnsi="Helvetica"/>
          <w:sz w:val="20"/>
          <w:lang w:eastAsia="de-DE" w:bidi="de-DE"/>
        </w:rPr>
        <w:t>hominis</w:t>
      </w:r>
      <w:r w:rsidR="00FA3A9A" w:rsidRPr="00A92EEC">
        <w:rPr>
          <w:rFonts w:ascii="Helvetica" w:hAnsi="Helvetica"/>
          <w:sz w:val="20"/>
          <w:lang w:eastAsia="de-DE" w:bidi="de-DE"/>
        </w:rPr>
        <w:t xml:space="preserve"> </w:t>
      </w:r>
      <w:r w:rsidR="00FA3A9A" w:rsidRPr="00A92EEC">
        <w:rPr>
          <w:rFonts w:ascii="Helvetica" w:hAnsi="Helvetica"/>
          <w:sz w:val="20"/>
        </w:rPr>
        <w:t>mišinį.</w:t>
      </w:r>
    </w:p>
    <w:p w14:paraId="7F928C77" w14:textId="77777777" w:rsidR="00A92EEC" w:rsidRPr="00A92EEC" w:rsidRDefault="00A92EEC" w:rsidP="00A92EEC">
      <w:pPr>
        <w:pStyle w:val="Bodytext20"/>
        <w:widowControl/>
        <w:shd w:val="clear" w:color="auto" w:fill="auto"/>
        <w:tabs>
          <w:tab w:val="left" w:pos="447"/>
        </w:tabs>
        <w:spacing w:after="0" w:line="360" w:lineRule="auto"/>
        <w:ind w:firstLine="567"/>
        <w:jc w:val="both"/>
        <w:rPr>
          <w:rFonts w:ascii="Helvetica" w:hAnsi="Helvetica"/>
          <w:sz w:val="20"/>
        </w:rPr>
      </w:pPr>
    </w:p>
    <w:p w14:paraId="0B07DED9" w14:textId="6856A0E1" w:rsidR="00662A77" w:rsidRPr="00A92EEC" w:rsidRDefault="00A92EEC" w:rsidP="00A92EEC">
      <w:pPr>
        <w:pStyle w:val="Bodytext20"/>
        <w:widowControl/>
        <w:shd w:val="clear" w:color="auto" w:fill="auto"/>
        <w:tabs>
          <w:tab w:val="left" w:pos="409"/>
        </w:tabs>
        <w:spacing w:after="0" w:line="360" w:lineRule="auto"/>
        <w:ind w:firstLine="567"/>
        <w:jc w:val="both"/>
        <w:rPr>
          <w:rFonts w:ascii="Helvetica" w:hAnsi="Helvetica"/>
          <w:sz w:val="20"/>
        </w:rPr>
      </w:pPr>
      <w:r w:rsidRPr="00A92EEC">
        <w:rPr>
          <w:rFonts w:ascii="Helvetica" w:hAnsi="Helvetica"/>
          <w:sz w:val="20"/>
        </w:rPr>
        <w:t xml:space="preserve">17. </w:t>
      </w:r>
      <w:r w:rsidR="00FA3A9A" w:rsidRPr="00A92EEC">
        <w:rPr>
          <w:rFonts w:ascii="Helvetica" w:hAnsi="Helvetica"/>
          <w:sz w:val="20"/>
        </w:rPr>
        <w:t xml:space="preserve">Farmacinė geriamoji kompozicija pagal bet kurį iš 1-12 punktų, skirta naudoti nutukimo ir diabeto gydymui arba prevencijai, kur kompozicija apima </w:t>
      </w:r>
      <w:r w:rsidR="00FA3A9A" w:rsidRPr="00A92EEC">
        <w:rPr>
          <w:rStyle w:val="Bodytext2Italic"/>
          <w:rFonts w:ascii="Helvetica" w:hAnsi="Helvetica"/>
          <w:sz w:val="20"/>
        </w:rPr>
        <w:t>Akkermansia muciniphila</w:t>
      </w:r>
      <w:r w:rsidR="00FA3A9A" w:rsidRPr="00A92EEC">
        <w:rPr>
          <w:rFonts w:ascii="Helvetica" w:hAnsi="Helvetica"/>
          <w:sz w:val="20"/>
        </w:rPr>
        <w:t xml:space="preserve"> ir </w:t>
      </w:r>
      <w:r w:rsidR="00FA3A9A" w:rsidRPr="00A92EEC">
        <w:rPr>
          <w:rStyle w:val="Bodytext2Italic"/>
          <w:rFonts w:ascii="Helvetica" w:hAnsi="Helvetica"/>
          <w:sz w:val="20"/>
        </w:rPr>
        <w:t>Christensenella spp.</w:t>
      </w:r>
      <w:r w:rsidR="00FA3A9A" w:rsidRPr="00A92EEC">
        <w:rPr>
          <w:rFonts w:ascii="Helvetica" w:hAnsi="Helvetica"/>
          <w:sz w:val="20"/>
        </w:rPr>
        <w:t xml:space="preserve"> mišinį.</w:t>
      </w:r>
    </w:p>
    <w:p w14:paraId="562D1A29" w14:textId="77777777" w:rsidR="00A92EEC" w:rsidRPr="00A92EEC" w:rsidRDefault="00A92EEC" w:rsidP="00A92EEC">
      <w:pPr>
        <w:pStyle w:val="Bodytext20"/>
        <w:widowControl/>
        <w:shd w:val="clear" w:color="auto" w:fill="auto"/>
        <w:tabs>
          <w:tab w:val="left" w:pos="409"/>
        </w:tabs>
        <w:spacing w:after="0" w:line="360" w:lineRule="auto"/>
        <w:ind w:firstLine="567"/>
        <w:jc w:val="both"/>
        <w:rPr>
          <w:rFonts w:ascii="Helvetica" w:hAnsi="Helvetica"/>
          <w:sz w:val="20"/>
        </w:rPr>
      </w:pPr>
    </w:p>
    <w:p w14:paraId="47FCEEB8" w14:textId="0D1AF390" w:rsidR="00662A77" w:rsidRPr="00A92EEC" w:rsidRDefault="00A92EEC" w:rsidP="00A92EEC">
      <w:pPr>
        <w:pStyle w:val="Bodytext20"/>
        <w:widowControl/>
        <w:shd w:val="clear" w:color="auto" w:fill="auto"/>
        <w:tabs>
          <w:tab w:val="left" w:pos="414"/>
        </w:tabs>
        <w:spacing w:after="0" w:line="360" w:lineRule="auto"/>
        <w:ind w:firstLine="567"/>
        <w:jc w:val="both"/>
        <w:rPr>
          <w:rFonts w:ascii="Helvetica" w:hAnsi="Helvetica"/>
          <w:sz w:val="20"/>
        </w:rPr>
      </w:pPr>
      <w:r w:rsidRPr="00A92EEC">
        <w:rPr>
          <w:rFonts w:ascii="Helvetica" w:hAnsi="Helvetica"/>
          <w:sz w:val="20"/>
        </w:rPr>
        <w:lastRenderedPageBreak/>
        <w:t xml:space="preserve">18. </w:t>
      </w:r>
      <w:r w:rsidR="00FA3A9A" w:rsidRPr="00A92EEC">
        <w:rPr>
          <w:rFonts w:ascii="Helvetica" w:hAnsi="Helvetica"/>
          <w:sz w:val="20"/>
        </w:rPr>
        <w:t xml:space="preserve">Farmacinė geriamoji kompozicija pagal bet kurį iš 1-12 punktų, skirta naudoti žarnyno disbiozės, susijusios su priešvėžine chemoterapija arba imunoterapija, gydymui arba prevencijai, kur kompozicija apima </w:t>
      </w:r>
      <w:r w:rsidR="00FA3A9A" w:rsidRPr="00A92EEC">
        <w:rPr>
          <w:rStyle w:val="Bodytext2Italic"/>
          <w:rFonts w:ascii="Helvetica" w:hAnsi="Helvetica"/>
          <w:sz w:val="20"/>
        </w:rPr>
        <w:t xml:space="preserve">Akkermansia muciniphila, </w:t>
      </w:r>
      <w:r w:rsidR="00FA3A9A" w:rsidRPr="00A92EEC">
        <w:rPr>
          <w:rStyle w:val="Bodytext2Italic"/>
          <w:rFonts w:ascii="Helvetica" w:hAnsi="Helvetica"/>
          <w:sz w:val="20"/>
          <w:lang w:eastAsia="en-US" w:bidi="en-US"/>
        </w:rPr>
        <w:t xml:space="preserve">Enterococcus </w:t>
      </w:r>
      <w:r w:rsidR="00FA3A9A" w:rsidRPr="00A92EEC">
        <w:rPr>
          <w:rStyle w:val="Bodytext2Italic"/>
          <w:rFonts w:ascii="Helvetica" w:hAnsi="Helvetica"/>
          <w:sz w:val="20"/>
        </w:rPr>
        <w:t>spp.,</w:t>
      </w:r>
      <w:r w:rsidR="00FA3A9A" w:rsidRPr="00A92EEC">
        <w:rPr>
          <w:rFonts w:ascii="Helvetica" w:hAnsi="Helvetica"/>
          <w:sz w:val="20"/>
        </w:rPr>
        <w:t xml:space="preserve"> ir </w:t>
      </w:r>
      <w:r w:rsidR="00FA3A9A" w:rsidRPr="00A92EEC">
        <w:rPr>
          <w:rStyle w:val="Bodytext2Italic"/>
          <w:rFonts w:ascii="Helvetica" w:hAnsi="Helvetica"/>
          <w:sz w:val="20"/>
        </w:rPr>
        <w:t>Bacteroides fragilis.</w:t>
      </w:r>
    </w:p>
    <w:sectPr w:rsidR="00662A77" w:rsidRPr="00A92EEC" w:rsidSect="00A92EEC">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E3DD" w14:textId="77777777" w:rsidR="006C4816" w:rsidRDefault="006C4816">
      <w:r>
        <w:separator/>
      </w:r>
    </w:p>
  </w:endnote>
  <w:endnote w:type="continuationSeparator" w:id="0">
    <w:p w14:paraId="58C49601" w14:textId="77777777" w:rsidR="006C4816" w:rsidRDefault="006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8BE7" w14:textId="77777777" w:rsidR="006C4816" w:rsidRDefault="006C4816"/>
  </w:footnote>
  <w:footnote w:type="continuationSeparator" w:id="0">
    <w:p w14:paraId="3838283A" w14:textId="77777777" w:rsidR="006C4816" w:rsidRDefault="006C48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3A4"/>
    <w:multiLevelType w:val="multilevel"/>
    <w:tmpl w:val="ADB47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11380"/>
    <w:multiLevelType w:val="multilevel"/>
    <w:tmpl w:val="897E1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753015"/>
    <w:multiLevelType w:val="multilevel"/>
    <w:tmpl w:val="BFE8AA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E5629B"/>
    <w:multiLevelType w:val="multilevel"/>
    <w:tmpl w:val="5680EF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B5283A"/>
    <w:multiLevelType w:val="multilevel"/>
    <w:tmpl w:val="F5627A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AF7AB2"/>
    <w:multiLevelType w:val="multilevel"/>
    <w:tmpl w:val="87EE2E6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360E46"/>
    <w:multiLevelType w:val="multilevel"/>
    <w:tmpl w:val="6D3C16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72BD7"/>
    <w:multiLevelType w:val="multilevel"/>
    <w:tmpl w:val="1A860E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3773459">
    <w:abstractNumId w:val="1"/>
  </w:num>
  <w:num w:numId="2" w16cid:durableId="692222864">
    <w:abstractNumId w:val="7"/>
  </w:num>
  <w:num w:numId="3" w16cid:durableId="90663153">
    <w:abstractNumId w:val="0"/>
  </w:num>
  <w:num w:numId="4" w16cid:durableId="1901867754">
    <w:abstractNumId w:val="2"/>
  </w:num>
  <w:num w:numId="5" w16cid:durableId="2016151463">
    <w:abstractNumId w:val="4"/>
  </w:num>
  <w:num w:numId="6" w16cid:durableId="1706441714">
    <w:abstractNumId w:val="3"/>
  </w:num>
  <w:num w:numId="7" w16cid:durableId="885216648">
    <w:abstractNumId w:val="5"/>
  </w:num>
  <w:num w:numId="8" w16cid:durableId="897396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62A77"/>
    <w:rsid w:val="00662A77"/>
    <w:rsid w:val="006C4816"/>
    <w:rsid w:val="00A92EEC"/>
    <w:rsid w:val="00DD399B"/>
    <w:rsid w:val="00FA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B3240"/>
  <w15:docId w15:val="{1012E6C1-5D45-4CA0-BD3F-0F823EB5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paragraph" w:customStyle="1" w:styleId="Bodytext20">
    <w:name w:val="Body text (2)"/>
    <w:basedOn w:val="prastasis"/>
    <w:link w:val="Bodytext2"/>
    <w:pPr>
      <w:shd w:val="clear" w:color="auto" w:fill="FFFFFF"/>
      <w:spacing w:after="140" w:line="266" w:lineRule="exact"/>
      <w:jc w:val="right"/>
    </w:pPr>
    <w:rPr>
      <w:rFonts w:ascii="Times New Roman" w:eastAsia="Times New Roman" w:hAnsi="Times New Roman" w:cs="Times New Roman"/>
    </w:rPr>
  </w:style>
  <w:style w:type="paragraph" w:customStyle="1" w:styleId="Heading10">
    <w:name w:val="Heading #1"/>
    <w:basedOn w:val="prastasis"/>
    <w:link w:val="Heading1"/>
    <w:pPr>
      <w:shd w:val="clear" w:color="auto" w:fill="FFFFFF"/>
      <w:spacing w:before="560" w:after="560" w:line="266" w:lineRule="exact"/>
      <w:jc w:val="center"/>
      <w:outlineLvl w:val="0"/>
    </w:pPr>
    <w:rPr>
      <w:rFonts w:ascii="Times New Roman" w:eastAsia="Times New Roman" w:hAnsi="Times New Roman" w:cs="Times New Roman"/>
    </w:rPr>
  </w:style>
  <w:style w:type="paragraph" w:styleId="Antrats">
    <w:name w:val="header"/>
    <w:basedOn w:val="prastasis"/>
    <w:link w:val="AntratsDiagrama"/>
    <w:uiPriority w:val="99"/>
    <w:unhideWhenUsed/>
    <w:rsid w:val="00A92EEC"/>
    <w:pPr>
      <w:tabs>
        <w:tab w:val="center" w:pos="4986"/>
        <w:tab w:val="right" w:pos="9972"/>
      </w:tabs>
    </w:pPr>
  </w:style>
  <w:style w:type="character" w:customStyle="1" w:styleId="AntratsDiagrama">
    <w:name w:val="Antraštės Diagrama"/>
    <w:basedOn w:val="Numatytasispastraiposriftas"/>
    <w:link w:val="Antrats"/>
    <w:uiPriority w:val="99"/>
    <w:rsid w:val="00A92EEC"/>
    <w:rPr>
      <w:color w:val="000000"/>
    </w:rPr>
  </w:style>
  <w:style w:type="paragraph" w:styleId="Porat">
    <w:name w:val="footer"/>
    <w:basedOn w:val="prastasis"/>
    <w:link w:val="PoratDiagrama"/>
    <w:uiPriority w:val="99"/>
    <w:unhideWhenUsed/>
    <w:rsid w:val="00A92EEC"/>
    <w:pPr>
      <w:tabs>
        <w:tab w:val="center" w:pos="4986"/>
        <w:tab w:val="right" w:pos="9972"/>
      </w:tabs>
    </w:pPr>
  </w:style>
  <w:style w:type="character" w:customStyle="1" w:styleId="PoratDiagrama">
    <w:name w:val="Poraštė Diagrama"/>
    <w:basedOn w:val="Numatytasispastraiposriftas"/>
    <w:link w:val="Porat"/>
    <w:uiPriority w:val="99"/>
    <w:rsid w:val="00A92EE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879</Words>
  <Characters>5012</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Gurčytė</dc:creator>
  <cp:lastModifiedBy>Rasa Gurčytė</cp:lastModifiedBy>
  <cp:revision>3</cp:revision>
  <dcterms:created xsi:type="dcterms:W3CDTF">2023-07-07T10:46:00Z</dcterms:created>
  <dcterms:modified xsi:type="dcterms:W3CDTF">2023-07-31T07:27:00Z</dcterms:modified>
</cp:coreProperties>
</file>