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2459" w14:textId="7EAC0896" w:rsidR="00D313B5" w:rsidRPr="002628C5" w:rsidRDefault="00B70727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1. </w:t>
      </w:r>
      <w:r w:rsidR="00D313B5" w:rsidRPr="002628C5">
        <w:rPr>
          <w:rFonts w:ascii="Helvetica" w:hAnsi="Helvetica" w:cs="Arial"/>
          <w:sz w:val="20"/>
          <w:lang w:val="lt-LT"/>
        </w:rPr>
        <w:t>Farmacinė kompozicija, kurios</w:t>
      </w:r>
      <w:r w:rsidR="007B44C7" w:rsidRPr="002628C5">
        <w:rPr>
          <w:rFonts w:ascii="Helvetica" w:hAnsi="Helvetica" w:cs="Arial"/>
          <w:sz w:val="20"/>
          <w:lang w:val="lt-LT"/>
        </w:rPr>
        <w:t xml:space="preserve"> sudėtyje, kaip</w:t>
      </w:r>
      <w:r w:rsidR="00D313B5" w:rsidRPr="002628C5">
        <w:rPr>
          <w:rFonts w:ascii="Helvetica" w:hAnsi="Helvetica" w:cs="Arial"/>
          <w:sz w:val="20"/>
          <w:lang w:val="lt-LT"/>
        </w:rPr>
        <w:t xml:space="preserve"> veikliosios medžiagos</w:t>
      </w:r>
      <w:r w:rsidR="007B44C7" w:rsidRPr="002628C5">
        <w:rPr>
          <w:rFonts w:ascii="Helvetica" w:hAnsi="Helvetica" w:cs="Arial"/>
          <w:sz w:val="20"/>
          <w:lang w:val="lt-LT"/>
        </w:rPr>
        <w:t>,</w:t>
      </w:r>
      <w:r w:rsidR="00D313B5" w:rsidRPr="002628C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D313B5"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="00D313B5"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="00D313B5" w:rsidRPr="002628C5">
        <w:rPr>
          <w:rFonts w:ascii="Helvetica" w:hAnsi="Helvetica" w:cs="Arial"/>
          <w:sz w:val="20"/>
          <w:lang w:val="lt-LT"/>
        </w:rPr>
        <w:t xml:space="preserve"> </w:t>
      </w:r>
      <w:r w:rsidR="007B44C7" w:rsidRPr="002628C5">
        <w:rPr>
          <w:rFonts w:ascii="Helvetica" w:hAnsi="Helvetica" w:cs="Arial"/>
          <w:sz w:val="20"/>
          <w:lang w:val="lt-LT"/>
        </w:rPr>
        <w:t>derinyje</w:t>
      </w:r>
      <w:r w:rsidR="00D313B5" w:rsidRPr="002628C5">
        <w:rPr>
          <w:rFonts w:ascii="Helvetica" w:hAnsi="Helvetica" w:cs="Arial"/>
          <w:sz w:val="20"/>
          <w:lang w:val="lt-LT"/>
        </w:rPr>
        <w:t xml:space="preserve"> su SGLT-2 inhibitoriumi, kuris yra </w:t>
      </w:r>
      <w:proofErr w:type="spellStart"/>
      <w:r w:rsidR="00D313B5" w:rsidRPr="002628C5">
        <w:rPr>
          <w:rFonts w:ascii="Helvetica" w:hAnsi="Helvetica" w:cs="Arial"/>
          <w:sz w:val="20"/>
          <w:lang w:val="lt-LT"/>
        </w:rPr>
        <w:t>kanagliflozinas</w:t>
      </w:r>
      <w:proofErr w:type="spellEnd"/>
      <w:r w:rsidR="00D313B5" w:rsidRPr="002628C5">
        <w:rPr>
          <w:rFonts w:ascii="Helvetica" w:hAnsi="Helvetica" w:cs="Arial"/>
          <w:sz w:val="20"/>
          <w:lang w:val="lt-LT"/>
        </w:rPr>
        <w:t xml:space="preserve">, dapagliflozinas arba </w:t>
      </w:r>
      <w:proofErr w:type="spellStart"/>
      <w:r w:rsidR="00D313B5" w:rsidRPr="002628C5">
        <w:rPr>
          <w:rFonts w:ascii="Helvetica" w:hAnsi="Helvetica" w:cs="Arial"/>
          <w:sz w:val="20"/>
          <w:lang w:val="lt-LT"/>
        </w:rPr>
        <w:t>empagliflozinas</w:t>
      </w:r>
      <w:proofErr w:type="spellEnd"/>
      <w:r w:rsidR="00D313B5" w:rsidRPr="002628C5">
        <w:rPr>
          <w:rFonts w:ascii="Helvetica" w:hAnsi="Helvetica" w:cs="Arial"/>
          <w:sz w:val="20"/>
          <w:lang w:val="lt-LT"/>
        </w:rPr>
        <w:t xml:space="preserve">,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="00D313B5" w:rsidRPr="002628C5">
        <w:rPr>
          <w:rFonts w:ascii="Helvetica" w:hAnsi="Helvetica" w:cs="Arial"/>
          <w:sz w:val="20"/>
          <w:lang w:val="lt-LT"/>
        </w:rPr>
        <w:t xml:space="preserve">, taip pat </w:t>
      </w:r>
      <w:r w:rsidR="007B44C7" w:rsidRPr="002628C5">
        <w:rPr>
          <w:rFonts w:ascii="Helvetica" w:hAnsi="Helvetica" w:cs="Arial"/>
          <w:sz w:val="20"/>
          <w:lang w:val="lt-LT"/>
        </w:rPr>
        <w:t>mažiausiai</w:t>
      </w:r>
      <w:r w:rsidR="00D313B5" w:rsidRPr="002628C5">
        <w:rPr>
          <w:rFonts w:ascii="Helvetica" w:hAnsi="Helvetica" w:cs="Arial"/>
          <w:sz w:val="20"/>
          <w:lang w:val="lt-LT"/>
        </w:rPr>
        <w:t xml:space="preserve"> viena </w:t>
      </w:r>
      <w:r w:rsidR="007B44C7" w:rsidRPr="002628C5">
        <w:rPr>
          <w:rFonts w:ascii="Helvetica" w:hAnsi="Helvetica" w:cs="Arial"/>
          <w:sz w:val="20"/>
          <w:lang w:val="lt-LT"/>
        </w:rPr>
        <w:t>farmaciniu požiūriu</w:t>
      </w:r>
      <w:r w:rsidR="00D313B5" w:rsidRPr="002628C5">
        <w:rPr>
          <w:rFonts w:ascii="Helvetica" w:hAnsi="Helvetica" w:cs="Arial"/>
          <w:sz w:val="20"/>
          <w:lang w:val="lt-LT"/>
        </w:rPr>
        <w:t xml:space="preserve"> priimtina pagalbinė medžiaga.</w:t>
      </w:r>
    </w:p>
    <w:p w14:paraId="5F3A7374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4B804F" w14:textId="28D268C4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2.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 xml:space="preserve">Farmacinė kompozicija pagal 1 punktą, kur SGLT-2 inhibitorius yra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49B07C27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89EAA1" w14:textId="2B09EDDD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3.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 xml:space="preserve">Farmacinė kompozicija pagal 1 punktą, kur SGLT-2 inhibitorius yra </w:t>
      </w:r>
      <w:proofErr w:type="spellStart"/>
      <w:r w:rsidRPr="002628C5">
        <w:rPr>
          <w:rFonts w:ascii="Helvetica" w:hAnsi="Helvetica" w:cs="Arial"/>
          <w:sz w:val="20"/>
          <w:lang w:val="lt-LT"/>
        </w:rPr>
        <w:t>kanagliflozinas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59EB84A6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D4F694" w14:textId="36F6F5C7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4.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 xml:space="preserve">Farmacinė kompozicija pagal 1 punktą, kur SGLT-2 inhibitorius yra dapagliflozinas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31BC4486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DD1D75" w14:textId="57795784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5.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>Farmacinė kompozicija pagal bet kurį</w:t>
      </w:r>
      <w:r w:rsidR="007B44C7" w:rsidRPr="002628C5">
        <w:rPr>
          <w:rFonts w:ascii="Helvetica" w:hAnsi="Helvetica" w:cs="Arial"/>
          <w:sz w:val="20"/>
          <w:lang w:val="lt-LT"/>
        </w:rPr>
        <w:t xml:space="preserve"> vieną</w:t>
      </w:r>
      <w:r w:rsidRPr="002628C5">
        <w:rPr>
          <w:rFonts w:ascii="Helvetica" w:hAnsi="Helvetica" w:cs="Arial"/>
          <w:sz w:val="20"/>
          <w:lang w:val="lt-LT"/>
        </w:rPr>
        <w:t xml:space="preserve"> iš 1–4 punktų,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</w:t>
      </w:r>
      <w:r w:rsidR="007B44C7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priimtiną jo druską apima</w:t>
      </w:r>
      <w:r w:rsidRPr="002628C5">
        <w:rPr>
          <w:rFonts w:ascii="Helvetica" w:hAnsi="Helvetica" w:cs="Arial"/>
          <w:sz w:val="20"/>
          <w:lang w:val="lt-LT"/>
        </w:rPr>
        <w:t xml:space="preserve"> farmacinė vienetinė dozės form</w:t>
      </w:r>
      <w:r w:rsidR="007B44C7" w:rsidRPr="002628C5">
        <w:rPr>
          <w:rFonts w:ascii="Helvetica" w:hAnsi="Helvetica" w:cs="Arial"/>
          <w:sz w:val="20"/>
          <w:lang w:val="lt-LT"/>
        </w:rPr>
        <w:t>a</w:t>
      </w:r>
      <w:r w:rsidRPr="002628C5">
        <w:rPr>
          <w:rFonts w:ascii="Helvetica" w:hAnsi="Helvetica" w:cs="Arial"/>
          <w:sz w:val="20"/>
          <w:lang w:val="lt-LT"/>
        </w:rPr>
        <w:t>, tinkam</w:t>
      </w:r>
      <w:r w:rsidR="007B44C7" w:rsidRPr="002628C5">
        <w:rPr>
          <w:rFonts w:ascii="Helvetica" w:hAnsi="Helvetica" w:cs="Arial"/>
          <w:sz w:val="20"/>
          <w:lang w:val="lt-LT"/>
        </w:rPr>
        <w:t>a</w:t>
      </w:r>
      <w:r w:rsidRPr="002628C5">
        <w:rPr>
          <w:rFonts w:ascii="Helvetica" w:hAnsi="Helvetica" w:cs="Arial"/>
          <w:sz w:val="20"/>
          <w:lang w:val="lt-LT"/>
        </w:rPr>
        <w:t xml:space="preserve"> varto</w:t>
      </w:r>
      <w:r w:rsidR="007B44C7" w:rsidRPr="002628C5">
        <w:rPr>
          <w:rFonts w:ascii="Helvetica" w:hAnsi="Helvetica" w:cs="Arial"/>
          <w:sz w:val="20"/>
          <w:lang w:val="lt-LT"/>
        </w:rPr>
        <w:t>jimui</w:t>
      </w:r>
      <w:r w:rsidRPr="002628C5">
        <w:rPr>
          <w:rFonts w:ascii="Helvetica" w:hAnsi="Helvetica" w:cs="Arial"/>
          <w:sz w:val="20"/>
          <w:lang w:val="lt-LT"/>
        </w:rPr>
        <w:t xml:space="preserve"> per burną nuo 10 iki 50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dieną.</w:t>
      </w:r>
    </w:p>
    <w:p w14:paraId="2F6DA53F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BBFD18" w14:textId="0CB56248" w:rsidR="007B44C7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6.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Farmacinė kompozicija pagal 4 punktą, kur </w:t>
      </w:r>
    </w:p>
    <w:p w14:paraId="3EE46649" w14:textId="0D1D02B1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="007B44C7" w:rsidRPr="002628C5">
        <w:rPr>
          <w:rFonts w:ascii="Helvetica" w:hAnsi="Helvetica" w:cs="Arial"/>
          <w:sz w:val="20"/>
          <w:lang w:val="lt-LT"/>
        </w:rPr>
        <w:t>aprocitentaną</w:t>
      </w:r>
      <w:proofErr w:type="spellEnd"/>
      <w:r w:rsidR="007B44C7" w:rsidRPr="002628C5">
        <w:rPr>
          <w:rFonts w:ascii="Helvetica" w:hAnsi="Helvetica" w:cs="Arial"/>
          <w:sz w:val="20"/>
          <w:lang w:val="lt-LT"/>
        </w:rPr>
        <w:t xml:space="preserve"> arba farmaciniu požiūriu priimtiną jo druską apima farmacinė vienetinė dozės forma, tinkama vartojimui per burną nuo 10 iki 50 mg </w:t>
      </w:r>
      <w:proofErr w:type="spellStart"/>
      <w:r w:rsidR="007B44C7" w:rsidRPr="002628C5">
        <w:rPr>
          <w:rFonts w:ascii="Helvetica" w:hAnsi="Helvetica" w:cs="Arial"/>
          <w:sz w:val="20"/>
          <w:lang w:val="lt-LT"/>
        </w:rPr>
        <w:t>aprocitentano</w:t>
      </w:r>
      <w:proofErr w:type="spellEnd"/>
      <w:r w:rsidR="007B44C7" w:rsidRPr="002628C5">
        <w:rPr>
          <w:rFonts w:ascii="Helvetica" w:hAnsi="Helvetica" w:cs="Arial"/>
          <w:sz w:val="20"/>
          <w:lang w:val="lt-LT"/>
        </w:rPr>
        <w:t xml:space="preserve"> per dieną</w:t>
      </w:r>
      <w:r w:rsidRPr="002628C5">
        <w:rPr>
          <w:rFonts w:ascii="Helvetica" w:hAnsi="Helvetica" w:cs="Arial"/>
          <w:sz w:val="20"/>
          <w:lang w:val="lt-LT"/>
        </w:rPr>
        <w:t>; ir</w:t>
      </w:r>
    </w:p>
    <w:p w14:paraId="5B34CA7F" w14:textId="64465B0E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• dapagliflozin</w:t>
      </w:r>
      <w:r w:rsidR="007B44C7" w:rsidRPr="002628C5">
        <w:rPr>
          <w:rFonts w:ascii="Helvetica" w:hAnsi="Helvetica" w:cs="Arial"/>
          <w:sz w:val="20"/>
          <w:lang w:val="lt-LT"/>
        </w:rPr>
        <w:t>ą</w:t>
      </w:r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priimtiną jo druską apima farmacinė vienetinė dozės forma, tinkama vartojimui</w:t>
      </w:r>
      <w:r w:rsidRPr="002628C5">
        <w:rPr>
          <w:rFonts w:ascii="Helvetica" w:hAnsi="Helvetica" w:cs="Arial"/>
          <w:sz w:val="20"/>
          <w:lang w:val="lt-LT"/>
        </w:rPr>
        <w:t xml:space="preserve"> per burną nuo 1 iki 20 mg dapagliflozino per </w:t>
      </w:r>
      <w:r w:rsidR="007B44C7" w:rsidRPr="002628C5">
        <w:rPr>
          <w:rFonts w:ascii="Helvetica" w:hAnsi="Helvetica" w:cs="Arial"/>
          <w:sz w:val="20"/>
          <w:lang w:val="lt-LT"/>
        </w:rPr>
        <w:t>dieną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78E93CF9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EB5FE3" w14:textId="651F58E3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7.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>Farmacinė kompozicija pagal 2 punktą, kur</w:t>
      </w:r>
    </w:p>
    <w:p w14:paraId="68CA529E" w14:textId="189D96E4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="007B44C7" w:rsidRPr="002628C5">
        <w:rPr>
          <w:rFonts w:ascii="Helvetica" w:hAnsi="Helvetica" w:cs="Arial"/>
          <w:sz w:val="20"/>
          <w:lang w:val="lt-LT"/>
        </w:rPr>
        <w:t>aprocitentaną</w:t>
      </w:r>
      <w:proofErr w:type="spellEnd"/>
      <w:r w:rsidR="007B44C7" w:rsidRPr="002628C5">
        <w:rPr>
          <w:rFonts w:ascii="Helvetica" w:hAnsi="Helvetica" w:cs="Arial"/>
          <w:sz w:val="20"/>
          <w:lang w:val="lt-LT"/>
        </w:rPr>
        <w:t xml:space="preserve"> arba farmaciniu požiūriu priimtiną jo druską apima farmacinė vienetinė dozės forma, tinkama vartojimui per burną nuo 10 iki 50 mg </w:t>
      </w:r>
      <w:proofErr w:type="spellStart"/>
      <w:r w:rsidR="007B44C7" w:rsidRPr="002628C5">
        <w:rPr>
          <w:rFonts w:ascii="Helvetica" w:hAnsi="Helvetica" w:cs="Arial"/>
          <w:sz w:val="20"/>
          <w:lang w:val="lt-LT"/>
        </w:rPr>
        <w:t>aprocitentano</w:t>
      </w:r>
      <w:proofErr w:type="spellEnd"/>
      <w:r w:rsidR="007B44C7" w:rsidRPr="002628C5">
        <w:rPr>
          <w:rFonts w:ascii="Helvetica" w:hAnsi="Helvetica" w:cs="Arial"/>
          <w:sz w:val="20"/>
          <w:lang w:val="lt-LT"/>
        </w:rPr>
        <w:t xml:space="preserve"> per dieną; ir</w:t>
      </w:r>
    </w:p>
    <w:p w14:paraId="34D0585B" w14:textId="39904730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</w:t>
      </w:r>
      <w:r w:rsidR="007B44C7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7B44C7" w:rsidRPr="002628C5">
        <w:rPr>
          <w:rFonts w:ascii="Helvetica" w:hAnsi="Helvetica" w:cs="Arial"/>
          <w:sz w:val="20"/>
          <w:lang w:val="lt-LT"/>
        </w:rPr>
        <w:t>arba farmaciniu požiūriu priimtiną jo druską apima farmacinė vienetinė dozės forma, tinkama vartojimui</w:t>
      </w:r>
      <w:r w:rsidRPr="002628C5">
        <w:rPr>
          <w:rFonts w:ascii="Helvetica" w:hAnsi="Helvetica" w:cs="Arial"/>
          <w:sz w:val="20"/>
          <w:lang w:val="lt-LT"/>
        </w:rPr>
        <w:t xml:space="preserve"> per burną nuo 5 iki 50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</w:t>
      </w:r>
      <w:r w:rsidR="007B44C7" w:rsidRPr="002628C5">
        <w:rPr>
          <w:rFonts w:ascii="Helvetica" w:hAnsi="Helvetica" w:cs="Arial"/>
          <w:sz w:val="20"/>
          <w:lang w:val="lt-LT"/>
        </w:rPr>
        <w:t>dieną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5D922377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4F3D0E" w14:textId="5CCAF701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8.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r w:rsidRPr="002628C5">
        <w:rPr>
          <w:rFonts w:ascii="Helvetica" w:hAnsi="Helvetica" w:cs="Arial"/>
          <w:sz w:val="20"/>
          <w:lang w:val="lt-LT"/>
        </w:rPr>
        <w:t>Farmacinė kompozicija pagal bet kurį</w:t>
      </w:r>
      <w:r w:rsidR="007B44C7" w:rsidRPr="002628C5">
        <w:rPr>
          <w:rFonts w:ascii="Helvetica" w:hAnsi="Helvetica" w:cs="Arial"/>
          <w:sz w:val="20"/>
          <w:lang w:val="lt-LT"/>
        </w:rPr>
        <w:t xml:space="preserve"> vieną</w:t>
      </w:r>
      <w:r w:rsidRPr="002628C5">
        <w:rPr>
          <w:rFonts w:ascii="Helvetica" w:hAnsi="Helvetica" w:cs="Arial"/>
          <w:sz w:val="20"/>
          <w:lang w:val="lt-LT"/>
        </w:rPr>
        <w:t xml:space="preserve"> iš 1–7 punktų, kur minėta kompozicija apima kristalinės formos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aprocitentaną</w:t>
      </w:r>
      <w:proofErr w:type="spellEnd"/>
      <w:r w:rsidRPr="002628C5">
        <w:rPr>
          <w:rFonts w:ascii="Helvetica" w:hAnsi="Helvetica" w:cs="Arial"/>
          <w:sz w:val="20"/>
          <w:lang w:val="lt-LT"/>
        </w:rPr>
        <w:t>, kur minėta kristalin</w:t>
      </w:r>
      <w:r w:rsidR="007B44C7" w:rsidRPr="002628C5">
        <w:rPr>
          <w:rFonts w:ascii="Helvetica" w:hAnsi="Helvetica" w:cs="Arial"/>
          <w:sz w:val="20"/>
          <w:lang w:val="lt-LT"/>
        </w:rPr>
        <w:t>ė</w:t>
      </w:r>
      <w:r w:rsidRPr="002628C5">
        <w:rPr>
          <w:rFonts w:ascii="Helvetica" w:hAnsi="Helvetica" w:cs="Arial"/>
          <w:sz w:val="20"/>
          <w:lang w:val="lt-LT"/>
        </w:rPr>
        <w:t xml:space="preserve"> forma </w:t>
      </w:r>
      <w:r w:rsidR="007B44C7" w:rsidRPr="002628C5">
        <w:rPr>
          <w:rFonts w:ascii="Helvetica" w:hAnsi="Helvetica" w:cs="Arial"/>
          <w:sz w:val="20"/>
          <w:lang w:val="lt-LT"/>
        </w:rPr>
        <w:t>c h a r a k t e r i z u o j a m a</w:t>
      </w:r>
      <w:r w:rsidRPr="002628C5">
        <w:rPr>
          <w:rFonts w:ascii="Helvetica" w:hAnsi="Helvetica" w:cs="Arial"/>
          <w:sz w:val="20"/>
          <w:lang w:val="lt-LT"/>
        </w:rPr>
        <w:t xml:space="preserve"> smail</w:t>
      </w:r>
      <w:r w:rsidR="007B44C7" w:rsidRPr="002628C5">
        <w:rPr>
          <w:rFonts w:ascii="Helvetica" w:hAnsi="Helvetica" w:cs="Arial"/>
          <w:sz w:val="20"/>
          <w:lang w:val="lt-LT"/>
        </w:rPr>
        <w:t>ėmis</w:t>
      </w:r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7B44C7" w:rsidRPr="002628C5">
        <w:rPr>
          <w:rFonts w:ascii="Helvetica" w:hAnsi="Helvetica" w:cs="Arial"/>
          <w:sz w:val="20"/>
          <w:lang w:val="lt-LT"/>
        </w:rPr>
        <w:t>rentgeno spinduliuotės miltelių difrakcijos schem</w:t>
      </w:r>
      <w:r w:rsidRPr="002628C5">
        <w:rPr>
          <w:rFonts w:ascii="Helvetica" w:hAnsi="Helvetica" w:cs="Arial"/>
          <w:sz w:val="20"/>
          <w:lang w:val="lt-LT"/>
        </w:rPr>
        <w:t xml:space="preserve">oje šiais </w:t>
      </w:r>
      <w:r w:rsidR="007B44C7" w:rsidRPr="002628C5">
        <w:rPr>
          <w:rFonts w:ascii="Helvetica" w:hAnsi="Helvetica" w:cs="Arial"/>
          <w:sz w:val="20"/>
          <w:lang w:val="lt-LT"/>
        </w:rPr>
        <w:t>refrakcijų</w:t>
      </w:r>
      <w:r w:rsidRPr="002628C5">
        <w:rPr>
          <w:rFonts w:ascii="Helvetica" w:hAnsi="Helvetica" w:cs="Arial"/>
          <w:sz w:val="20"/>
          <w:lang w:val="lt-LT"/>
        </w:rPr>
        <w:t xml:space="preserve"> kampais 2θ: 17,8°, 18,6°, 20,0°, 23,2° ir 23,5°; kur minėta rentgeno </w:t>
      </w:r>
      <w:r w:rsidR="007B44C7" w:rsidRPr="002628C5">
        <w:rPr>
          <w:rFonts w:ascii="Helvetica" w:hAnsi="Helvetica" w:cs="Arial"/>
          <w:sz w:val="20"/>
          <w:lang w:val="lt-LT"/>
        </w:rPr>
        <w:t>spinduliuotės miltelių difrakcijos schem</w:t>
      </w:r>
      <w:r w:rsidRPr="002628C5">
        <w:rPr>
          <w:rFonts w:ascii="Helvetica" w:hAnsi="Helvetica" w:cs="Arial"/>
          <w:sz w:val="20"/>
          <w:lang w:val="lt-LT"/>
        </w:rPr>
        <w:t xml:space="preserve">a </w:t>
      </w:r>
      <w:r w:rsidR="007B44C7" w:rsidRPr="002628C5">
        <w:rPr>
          <w:rFonts w:ascii="Helvetica" w:hAnsi="Helvetica" w:cs="Arial"/>
          <w:sz w:val="20"/>
          <w:lang w:val="lt-LT"/>
        </w:rPr>
        <w:t xml:space="preserve">yra </w:t>
      </w:r>
      <w:r w:rsidRPr="002628C5">
        <w:rPr>
          <w:rFonts w:ascii="Helvetica" w:hAnsi="Helvetica" w:cs="Arial"/>
          <w:sz w:val="20"/>
          <w:lang w:val="lt-LT"/>
        </w:rPr>
        <w:t xml:space="preserve">gauta naudojant </w:t>
      </w:r>
      <w:r w:rsidR="007B44C7" w:rsidRPr="002628C5">
        <w:rPr>
          <w:rFonts w:ascii="Helvetica" w:hAnsi="Helvetica" w:cs="Arial"/>
          <w:sz w:val="20"/>
          <w:lang w:val="lt-LT"/>
        </w:rPr>
        <w:t>kompleksinę</w:t>
      </w:r>
      <w:r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Cu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Kα1 ir Kα2 spinduliuotę, be Kα2 pašalinimo; ir 2θ reikšmių tikslumas yra 2θ +/- 0,2° intervale.</w:t>
      </w:r>
    </w:p>
    <w:p w14:paraId="2F6D7D34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90D5E2" w14:textId="3AA1E930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9.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,</w:t>
      </w:r>
    </w:p>
    <w:p w14:paraId="3669ED1C" w14:textId="4F7141EB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r w:rsidR="00F140C4" w:rsidRPr="002628C5">
        <w:rPr>
          <w:rFonts w:ascii="Helvetica" w:hAnsi="Helvetica" w:cs="Arial"/>
          <w:sz w:val="20"/>
          <w:lang w:val="lt-LT"/>
        </w:rPr>
        <w:t>skirti panaudoti</w:t>
      </w:r>
      <w:r w:rsidRPr="002628C5">
        <w:rPr>
          <w:rFonts w:ascii="Helvetica" w:hAnsi="Helvetica" w:cs="Arial"/>
          <w:sz w:val="20"/>
          <w:lang w:val="lt-LT"/>
        </w:rPr>
        <w:t xml:space="preserve"> hipertenzijos sukeltos/ su ja susijusios lėtinės inkstų ligos (</w:t>
      </w:r>
      <w:r w:rsidR="00F140C4" w:rsidRPr="002628C5">
        <w:rPr>
          <w:rFonts w:ascii="Helvetica" w:hAnsi="Helvetica" w:cs="Arial"/>
          <w:sz w:val="20"/>
          <w:lang w:val="lt-LT"/>
        </w:rPr>
        <w:t>CKD</w:t>
      </w:r>
      <w:r w:rsidRPr="002628C5">
        <w:rPr>
          <w:rFonts w:ascii="Helvetica" w:hAnsi="Helvetica" w:cs="Arial"/>
          <w:sz w:val="20"/>
          <w:lang w:val="lt-LT"/>
        </w:rPr>
        <w:t>) profilaktikai arba gydymui;</w:t>
      </w:r>
    </w:p>
    <w:p w14:paraId="18BA12E2" w14:textId="091D82F8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r w:rsidR="00F140C4" w:rsidRPr="002628C5">
        <w:rPr>
          <w:rFonts w:ascii="Helvetica" w:hAnsi="Helvetica" w:cs="Arial"/>
          <w:sz w:val="20"/>
          <w:lang w:val="lt-LT"/>
        </w:rPr>
        <w:t>skirti panaudoti</w:t>
      </w:r>
      <w:r w:rsidRPr="002628C5">
        <w:rPr>
          <w:rFonts w:ascii="Helvetica" w:hAnsi="Helvetica" w:cs="Arial"/>
          <w:sz w:val="20"/>
          <w:lang w:val="lt-LT"/>
        </w:rPr>
        <w:t xml:space="preserve"> diabetinės inkstų ligos (DK</w:t>
      </w:r>
      <w:r w:rsidR="00F140C4" w:rsidRPr="002628C5">
        <w:rPr>
          <w:rFonts w:ascii="Helvetica" w:hAnsi="Helvetica" w:cs="Arial"/>
          <w:sz w:val="20"/>
          <w:lang w:val="lt-LT"/>
        </w:rPr>
        <w:t>D</w:t>
      </w:r>
      <w:r w:rsidRPr="002628C5">
        <w:rPr>
          <w:rFonts w:ascii="Helvetica" w:hAnsi="Helvetica" w:cs="Arial"/>
          <w:sz w:val="20"/>
          <w:lang w:val="lt-LT"/>
        </w:rPr>
        <w:t xml:space="preserve">), </w:t>
      </w:r>
      <w:r w:rsidR="00F140C4" w:rsidRPr="002628C5">
        <w:rPr>
          <w:rFonts w:ascii="Helvetica" w:hAnsi="Helvetica" w:cs="Arial"/>
          <w:sz w:val="20"/>
          <w:lang w:val="lt-LT"/>
        </w:rPr>
        <w:t xml:space="preserve">papildomai </w:t>
      </w:r>
      <w:r w:rsidRPr="002628C5">
        <w:rPr>
          <w:rFonts w:ascii="Helvetica" w:hAnsi="Helvetica" w:cs="Arial"/>
          <w:sz w:val="20"/>
          <w:lang w:val="lt-LT"/>
        </w:rPr>
        <w:t>susijusios su hipertenzija, profilaktikai arba gydymui;</w:t>
      </w:r>
    </w:p>
    <w:p w14:paraId="3573150F" w14:textId="1D2FE4E2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siekiant sumažinti sunkių širdies ir kraujagyslių sistemos sutrikimų išsivystymo riziką pacientams, </w:t>
      </w:r>
      <w:r w:rsidR="00F140C4" w:rsidRPr="002628C5">
        <w:rPr>
          <w:rFonts w:ascii="Helvetica" w:hAnsi="Helvetica" w:cs="Arial"/>
          <w:sz w:val="20"/>
          <w:lang w:val="lt-LT"/>
        </w:rPr>
        <w:t xml:space="preserve">kurie </w:t>
      </w:r>
      <w:r w:rsidRPr="002628C5">
        <w:rPr>
          <w:rFonts w:ascii="Helvetica" w:hAnsi="Helvetica" w:cs="Arial"/>
          <w:sz w:val="20"/>
          <w:lang w:val="lt-LT"/>
        </w:rPr>
        <w:t xml:space="preserve">serga diabetu, kai minėtas diabetas yra susijęs su </w:t>
      </w:r>
      <w:r w:rsidR="007B44C7" w:rsidRPr="002628C5">
        <w:rPr>
          <w:rFonts w:ascii="Helvetica" w:hAnsi="Helvetica" w:cs="Arial"/>
          <w:sz w:val="20"/>
          <w:lang w:val="lt-LT"/>
        </w:rPr>
        <w:t>mažiausiai</w:t>
      </w:r>
      <w:r w:rsidRPr="002628C5">
        <w:rPr>
          <w:rFonts w:ascii="Helvetica" w:hAnsi="Helvetica" w:cs="Arial"/>
          <w:sz w:val="20"/>
          <w:lang w:val="lt-LT"/>
        </w:rPr>
        <w:t xml:space="preserve"> vienu kit</w:t>
      </w:r>
      <w:r w:rsidR="00F140C4" w:rsidRPr="002628C5">
        <w:rPr>
          <w:rFonts w:ascii="Helvetica" w:hAnsi="Helvetica" w:cs="Arial"/>
          <w:sz w:val="20"/>
          <w:lang w:val="lt-LT"/>
        </w:rPr>
        <w:t>okiu</w:t>
      </w:r>
      <w:r w:rsidRPr="002628C5">
        <w:rPr>
          <w:rFonts w:ascii="Helvetica" w:hAnsi="Helvetica" w:cs="Arial"/>
          <w:sz w:val="20"/>
          <w:lang w:val="lt-LT"/>
        </w:rPr>
        <w:t xml:space="preserve"> širdies ir kraujagyslių ligų rizikos veiksniu, apimančiu hipertenziją; arba</w:t>
      </w:r>
    </w:p>
    <w:p w14:paraId="1AFBB9B1" w14:textId="214D5003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r w:rsidR="00F140C4" w:rsidRPr="002628C5">
        <w:rPr>
          <w:rFonts w:ascii="Helvetica" w:hAnsi="Helvetica" w:cs="Arial"/>
          <w:sz w:val="20"/>
          <w:lang w:val="lt-LT"/>
        </w:rPr>
        <w:t>skirti panaudoti</w:t>
      </w:r>
      <w:r w:rsidRPr="002628C5">
        <w:rPr>
          <w:rFonts w:ascii="Helvetica" w:hAnsi="Helvetica" w:cs="Arial"/>
          <w:sz w:val="20"/>
          <w:lang w:val="lt-LT"/>
        </w:rPr>
        <w:t xml:space="preserve"> hipertenzijai, įskaitant </w:t>
      </w:r>
      <w:proofErr w:type="spellStart"/>
      <w:r w:rsidRPr="002628C5">
        <w:rPr>
          <w:rFonts w:ascii="Helvetica" w:hAnsi="Helvetica" w:cs="Arial"/>
          <w:sz w:val="20"/>
          <w:lang w:val="lt-LT"/>
        </w:rPr>
        <w:t>rezistentinę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hipertenziją, gydy</w:t>
      </w:r>
      <w:r w:rsidR="00F140C4" w:rsidRPr="002628C5">
        <w:rPr>
          <w:rFonts w:ascii="Helvetica" w:hAnsi="Helvetica" w:cs="Arial"/>
          <w:sz w:val="20"/>
          <w:lang w:val="lt-LT"/>
        </w:rPr>
        <w:t>mui</w:t>
      </w:r>
      <w:r w:rsidRPr="002628C5">
        <w:rPr>
          <w:rFonts w:ascii="Helvetica" w:hAnsi="Helvetica" w:cs="Arial"/>
          <w:sz w:val="20"/>
          <w:lang w:val="lt-LT"/>
        </w:rPr>
        <w:t>;</w:t>
      </w:r>
    </w:p>
    <w:p w14:paraId="460F7B97" w14:textId="29B2AE1F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lastRenderedPageBreak/>
        <w:t xml:space="preserve">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turi būti </w:t>
      </w:r>
      <w:r w:rsidR="00F140C4" w:rsidRPr="002628C5">
        <w:rPr>
          <w:rFonts w:ascii="Helvetica" w:hAnsi="Helvetica" w:cs="Arial"/>
          <w:sz w:val="20"/>
          <w:lang w:val="lt-LT"/>
        </w:rPr>
        <w:t>įvedamas</w:t>
      </w:r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F140C4" w:rsidRPr="002628C5">
        <w:rPr>
          <w:rFonts w:ascii="Helvetica" w:hAnsi="Helvetica" w:cs="Arial"/>
          <w:sz w:val="20"/>
          <w:lang w:val="lt-LT"/>
        </w:rPr>
        <w:t>derinyje</w:t>
      </w:r>
      <w:r w:rsidRPr="002628C5">
        <w:rPr>
          <w:rFonts w:ascii="Helvetica" w:hAnsi="Helvetica" w:cs="Arial"/>
          <w:sz w:val="20"/>
          <w:lang w:val="lt-LT"/>
        </w:rPr>
        <w:t xml:space="preserve"> su SGLT-2 inhibitoriumi, kuris yra </w:t>
      </w:r>
      <w:proofErr w:type="spellStart"/>
      <w:r w:rsidRPr="002628C5">
        <w:rPr>
          <w:rFonts w:ascii="Helvetica" w:hAnsi="Helvetica" w:cs="Arial"/>
          <w:sz w:val="20"/>
          <w:lang w:val="lt-LT"/>
        </w:rPr>
        <w:t>kanagliflozinas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, dapagliflozinas arba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, </w:t>
      </w:r>
      <w:r w:rsidR="00F140C4" w:rsidRPr="002628C5">
        <w:rPr>
          <w:rFonts w:ascii="Helvetica" w:hAnsi="Helvetica" w:cs="Arial"/>
          <w:sz w:val="20"/>
          <w:lang w:val="lt-LT"/>
        </w:rPr>
        <w:t>arba 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3FCC473A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04702A" w14:textId="6FBCE626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10.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pagal 9 punktą,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F140C4" w:rsidRPr="002628C5">
        <w:rPr>
          <w:rFonts w:ascii="Helvetica" w:hAnsi="Helvetica" w:cs="Arial"/>
          <w:sz w:val="20"/>
          <w:lang w:val="lt-LT"/>
        </w:rPr>
        <w:t xml:space="preserve">yra </w:t>
      </w:r>
      <w:r w:rsidRPr="002628C5">
        <w:rPr>
          <w:rFonts w:ascii="Helvetica" w:hAnsi="Helvetica" w:cs="Arial"/>
          <w:sz w:val="20"/>
          <w:lang w:val="lt-LT"/>
        </w:rPr>
        <w:t xml:space="preserve">skirtas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diabetinės inkstų ligos (DKD), </w:t>
      </w:r>
      <w:r w:rsidR="00F140C4" w:rsidRPr="002628C5">
        <w:rPr>
          <w:rFonts w:ascii="Helvetica" w:hAnsi="Helvetica" w:cs="Arial"/>
          <w:sz w:val="20"/>
          <w:lang w:val="lt-LT"/>
        </w:rPr>
        <w:t xml:space="preserve">papildomai </w:t>
      </w:r>
      <w:r w:rsidRPr="002628C5">
        <w:rPr>
          <w:rFonts w:ascii="Helvetica" w:hAnsi="Helvetica" w:cs="Arial"/>
          <w:sz w:val="20"/>
          <w:lang w:val="lt-LT"/>
        </w:rPr>
        <w:t>susijusios su hipertenzija, gydymui.</w:t>
      </w:r>
    </w:p>
    <w:p w14:paraId="1E562476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DC4DFB" w14:textId="509A828E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11.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pagal 9 punktą,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F140C4" w:rsidRPr="002628C5">
        <w:rPr>
          <w:rFonts w:ascii="Helvetica" w:hAnsi="Helvetica" w:cs="Arial"/>
          <w:sz w:val="20"/>
          <w:lang w:val="lt-LT"/>
        </w:rPr>
        <w:t xml:space="preserve">yra </w:t>
      </w:r>
      <w:r w:rsidRPr="002628C5">
        <w:rPr>
          <w:rFonts w:ascii="Helvetica" w:hAnsi="Helvetica" w:cs="Arial"/>
          <w:sz w:val="20"/>
          <w:lang w:val="lt-LT"/>
        </w:rPr>
        <w:t xml:space="preserve">skirtas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>naudoti gydant lėtinę inkstų ligą (</w:t>
      </w:r>
      <w:r w:rsidR="00F140C4" w:rsidRPr="002628C5">
        <w:rPr>
          <w:rFonts w:ascii="Helvetica" w:hAnsi="Helvetica" w:cs="Arial"/>
          <w:sz w:val="20"/>
          <w:lang w:val="lt-LT"/>
        </w:rPr>
        <w:t>CKD</w:t>
      </w:r>
      <w:r w:rsidRPr="002628C5">
        <w:rPr>
          <w:rFonts w:ascii="Helvetica" w:hAnsi="Helvetica" w:cs="Arial"/>
          <w:sz w:val="20"/>
          <w:lang w:val="lt-LT"/>
        </w:rPr>
        <w:t xml:space="preserve">), kurią sukelia/ </w:t>
      </w:r>
      <w:r w:rsidR="00F140C4" w:rsidRPr="002628C5">
        <w:rPr>
          <w:rFonts w:ascii="Helvetica" w:hAnsi="Helvetica" w:cs="Arial"/>
          <w:sz w:val="20"/>
          <w:lang w:val="lt-LT"/>
        </w:rPr>
        <w:t xml:space="preserve">yra </w:t>
      </w:r>
      <w:r w:rsidRPr="002628C5">
        <w:rPr>
          <w:rFonts w:ascii="Helvetica" w:hAnsi="Helvetica" w:cs="Arial"/>
          <w:sz w:val="20"/>
          <w:lang w:val="lt-LT"/>
        </w:rPr>
        <w:t>susijusi su hipertenzija.</w:t>
      </w:r>
    </w:p>
    <w:p w14:paraId="18537C22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726C0B" w14:textId="15C5583A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12.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pagal bet kurį </w:t>
      </w:r>
      <w:r w:rsidR="00F140C4" w:rsidRPr="002628C5">
        <w:rPr>
          <w:rFonts w:ascii="Helvetica" w:hAnsi="Helvetica" w:cs="Arial"/>
          <w:sz w:val="20"/>
          <w:lang w:val="lt-LT"/>
        </w:rPr>
        <w:t xml:space="preserve">vieną </w:t>
      </w:r>
      <w:r w:rsidRPr="002628C5">
        <w:rPr>
          <w:rFonts w:ascii="Helvetica" w:hAnsi="Helvetica" w:cs="Arial"/>
          <w:sz w:val="20"/>
          <w:lang w:val="lt-LT"/>
        </w:rPr>
        <w:t xml:space="preserve">iš 9–11 punktų; kur minėtas SGLT-2 inhibitorius yra </w:t>
      </w:r>
      <w:proofErr w:type="spellStart"/>
      <w:r w:rsidRPr="002628C5">
        <w:rPr>
          <w:rFonts w:ascii="Helvetica" w:hAnsi="Helvetica" w:cs="Arial"/>
          <w:sz w:val="20"/>
          <w:lang w:val="lt-LT"/>
        </w:rPr>
        <w:t>kanagliflozinas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0A204073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9E542DB" w14:textId="1E253FAA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13.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F140C4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>naudoti pagal bet kurį</w:t>
      </w:r>
      <w:r w:rsidR="002A5152" w:rsidRPr="002628C5">
        <w:rPr>
          <w:rFonts w:ascii="Helvetica" w:hAnsi="Helvetica" w:cs="Arial"/>
          <w:sz w:val="20"/>
          <w:lang w:val="lt-LT"/>
        </w:rPr>
        <w:t xml:space="preserve"> vieną</w:t>
      </w:r>
      <w:r w:rsidRPr="002628C5">
        <w:rPr>
          <w:rFonts w:ascii="Helvetica" w:hAnsi="Helvetica" w:cs="Arial"/>
          <w:sz w:val="20"/>
          <w:lang w:val="lt-LT"/>
        </w:rPr>
        <w:t xml:space="preserve"> iš 9–11 punktų; kur minėtas SGLT-2 inhibitorius yra dapagliflozinas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38D839E1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1135CB" w14:textId="687D81A9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14.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2A5152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pagal bet kurį </w:t>
      </w:r>
      <w:r w:rsidR="002A5152" w:rsidRPr="002628C5">
        <w:rPr>
          <w:rFonts w:ascii="Helvetica" w:hAnsi="Helvetica" w:cs="Arial"/>
          <w:sz w:val="20"/>
          <w:lang w:val="lt-LT"/>
        </w:rPr>
        <w:t xml:space="preserve">vieną </w:t>
      </w:r>
      <w:r w:rsidRPr="002628C5">
        <w:rPr>
          <w:rFonts w:ascii="Helvetica" w:hAnsi="Helvetica" w:cs="Arial"/>
          <w:sz w:val="20"/>
          <w:lang w:val="lt-LT"/>
        </w:rPr>
        <w:t xml:space="preserve">iš 9–11 punktų; kur minėtas SGLT-2 inhibitorius yra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0AA534FA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AD05B5" w14:textId="76C654A9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15.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2A5152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>naudoti pagal bet kurį</w:t>
      </w:r>
      <w:r w:rsidR="002A5152" w:rsidRPr="002628C5">
        <w:rPr>
          <w:rFonts w:ascii="Helvetica" w:hAnsi="Helvetica" w:cs="Arial"/>
          <w:sz w:val="20"/>
          <w:lang w:val="lt-LT"/>
        </w:rPr>
        <w:t xml:space="preserve"> vieną</w:t>
      </w:r>
      <w:r w:rsidRPr="002628C5">
        <w:rPr>
          <w:rFonts w:ascii="Helvetica" w:hAnsi="Helvetica" w:cs="Arial"/>
          <w:sz w:val="20"/>
          <w:lang w:val="lt-LT"/>
        </w:rPr>
        <w:t xml:space="preserve"> iš 9–14 punktų;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 yra skirti vartoti farmacine </w:t>
      </w:r>
      <w:r w:rsidR="002A5152" w:rsidRPr="002628C5">
        <w:rPr>
          <w:rFonts w:ascii="Helvetica" w:hAnsi="Helvetica" w:cs="Arial"/>
          <w:sz w:val="20"/>
          <w:lang w:val="lt-LT"/>
        </w:rPr>
        <w:t>vienetine doze</w:t>
      </w:r>
      <w:r w:rsidRPr="002628C5">
        <w:rPr>
          <w:rFonts w:ascii="Helvetica" w:hAnsi="Helvetica" w:cs="Arial"/>
          <w:sz w:val="20"/>
          <w:lang w:val="lt-LT"/>
        </w:rPr>
        <w:t>, tinkama varto</w:t>
      </w:r>
      <w:r w:rsidR="002A5152" w:rsidRPr="002628C5">
        <w:rPr>
          <w:rFonts w:ascii="Helvetica" w:hAnsi="Helvetica" w:cs="Arial"/>
          <w:sz w:val="20"/>
          <w:lang w:val="lt-LT"/>
        </w:rPr>
        <w:t>jimui</w:t>
      </w:r>
      <w:r w:rsidRPr="002628C5">
        <w:rPr>
          <w:rFonts w:ascii="Helvetica" w:hAnsi="Helvetica" w:cs="Arial"/>
          <w:sz w:val="20"/>
          <w:lang w:val="lt-LT"/>
        </w:rPr>
        <w:t xml:space="preserve"> per burną nuo 10 iki 50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dieną.</w:t>
      </w:r>
    </w:p>
    <w:p w14:paraId="311F8A04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43AC66" w14:textId="3384B4FA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16.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skirti </w:t>
      </w:r>
      <w:r w:rsidR="002A5152" w:rsidRPr="002628C5">
        <w:rPr>
          <w:rFonts w:ascii="Helvetica" w:hAnsi="Helvetica" w:cs="Arial"/>
          <w:sz w:val="20"/>
          <w:lang w:val="lt-LT"/>
        </w:rPr>
        <w:t>pa</w:t>
      </w:r>
      <w:r w:rsidRPr="002628C5">
        <w:rPr>
          <w:rFonts w:ascii="Helvetica" w:hAnsi="Helvetica" w:cs="Arial"/>
          <w:sz w:val="20"/>
          <w:lang w:val="lt-LT"/>
        </w:rPr>
        <w:t xml:space="preserve">naudoti pagal bet kurį </w:t>
      </w:r>
      <w:r w:rsidR="002A5152" w:rsidRPr="002628C5">
        <w:rPr>
          <w:rFonts w:ascii="Helvetica" w:hAnsi="Helvetica" w:cs="Arial"/>
          <w:sz w:val="20"/>
          <w:lang w:val="lt-LT"/>
        </w:rPr>
        <w:t xml:space="preserve">vieną </w:t>
      </w:r>
      <w:r w:rsidRPr="002628C5">
        <w:rPr>
          <w:rFonts w:ascii="Helvetica" w:hAnsi="Helvetica" w:cs="Arial"/>
          <w:sz w:val="20"/>
          <w:lang w:val="lt-LT"/>
        </w:rPr>
        <w:t xml:space="preserve">iš 9–11 punktų;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 yra skirti vartoti farmacine vienetine doze, tinkama varto</w:t>
      </w:r>
      <w:r w:rsidR="002A5152" w:rsidRPr="002628C5">
        <w:rPr>
          <w:rFonts w:ascii="Helvetica" w:hAnsi="Helvetica" w:cs="Arial"/>
          <w:sz w:val="20"/>
          <w:lang w:val="lt-LT"/>
        </w:rPr>
        <w:t>jimui</w:t>
      </w:r>
      <w:r w:rsidRPr="002628C5">
        <w:rPr>
          <w:rFonts w:ascii="Helvetica" w:hAnsi="Helvetica" w:cs="Arial"/>
          <w:sz w:val="20"/>
          <w:lang w:val="lt-LT"/>
        </w:rPr>
        <w:t xml:space="preserve"> per burną </w:t>
      </w:r>
      <w:r w:rsidR="002A5152" w:rsidRPr="002628C5">
        <w:rPr>
          <w:rFonts w:ascii="Helvetica" w:hAnsi="Helvetica" w:cs="Arial"/>
          <w:sz w:val="20"/>
          <w:lang w:val="lt-LT"/>
        </w:rPr>
        <w:t>nuo</w:t>
      </w:r>
      <w:r w:rsidRPr="002628C5">
        <w:rPr>
          <w:rFonts w:ascii="Helvetica" w:hAnsi="Helvetica" w:cs="Arial"/>
          <w:sz w:val="20"/>
          <w:lang w:val="lt-LT"/>
        </w:rPr>
        <w:t xml:space="preserve"> 10</w:t>
      </w:r>
      <w:r w:rsidR="002A5152" w:rsidRPr="002628C5">
        <w:rPr>
          <w:rFonts w:ascii="Helvetica" w:hAnsi="Helvetica" w:cs="Arial"/>
          <w:sz w:val="20"/>
          <w:lang w:val="lt-LT"/>
        </w:rPr>
        <w:t xml:space="preserve"> iki </w:t>
      </w:r>
      <w:r w:rsidRPr="002628C5">
        <w:rPr>
          <w:rFonts w:ascii="Helvetica" w:hAnsi="Helvetica" w:cs="Arial"/>
          <w:sz w:val="20"/>
          <w:lang w:val="lt-LT"/>
        </w:rPr>
        <w:t xml:space="preserve">50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dieną; ir</w:t>
      </w:r>
    </w:p>
    <w:p w14:paraId="1B39789C" w14:textId="0932F991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kanagliflozinas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jei </w:t>
      </w:r>
      <w:r w:rsidR="002A5152" w:rsidRPr="002628C5">
        <w:rPr>
          <w:rFonts w:ascii="Helvetica" w:hAnsi="Helvetica" w:cs="Arial"/>
          <w:sz w:val="20"/>
          <w:lang w:val="lt-LT"/>
        </w:rPr>
        <w:t xml:space="preserve">jis </w:t>
      </w:r>
      <w:r w:rsidRPr="002628C5">
        <w:rPr>
          <w:rFonts w:ascii="Helvetica" w:hAnsi="Helvetica" w:cs="Arial"/>
          <w:sz w:val="20"/>
          <w:lang w:val="lt-LT"/>
        </w:rPr>
        <w:t xml:space="preserve">yra, turi būti </w:t>
      </w:r>
      <w:r w:rsidR="002A5152" w:rsidRPr="002628C5">
        <w:rPr>
          <w:rFonts w:ascii="Helvetica" w:hAnsi="Helvetica" w:cs="Arial"/>
          <w:sz w:val="20"/>
          <w:lang w:val="lt-LT"/>
        </w:rPr>
        <w:t>vartojamas</w:t>
      </w:r>
      <w:r w:rsidRPr="002628C5">
        <w:rPr>
          <w:rFonts w:ascii="Helvetica" w:hAnsi="Helvetica" w:cs="Arial"/>
          <w:sz w:val="20"/>
          <w:lang w:val="lt-LT"/>
        </w:rPr>
        <w:t xml:space="preserve"> farmacine vienetine doze, tinkama varto</w:t>
      </w:r>
      <w:r w:rsidR="002A5152" w:rsidRPr="002628C5">
        <w:rPr>
          <w:rFonts w:ascii="Helvetica" w:hAnsi="Helvetica" w:cs="Arial"/>
          <w:sz w:val="20"/>
          <w:lang w:val="lt-LT"/>
        </w:rPr>
        <w:t>jimui</w:t>
      </w:r>
      <w:r w:rsidRPr="002628C5">
        <w:rPr>
          <w:rFonts w:ascii="Helvetica" w:hAnsi="Helvetica" w:cs="Arial"/>
          <w:sz w:val="20"/>
          <w:lang w:val="lt-LT"/>
        </w:rPr>
        <w:t xml:space="preserve"> per burną </w:t>
      </w:r>
      <w:r w:rsidR="002A5152" w:rsidRPr="002628C5">
        <w:rPr>
          <w:rFonts w:ascii="Helvetica" w:hAnsi="Helvetica" w:cs="Arial"/>
          <w:sz w:val="20"/>
          <w:lang w:val="lt-LT"/>
        </w:rPr>
        <w:t>nuo</w:t>
      </w:r>
      <w:r w:rsidRPr="002628C5">
        <w:rPr>
          <w:rFonts w:ascii="Helvetica" w:hAnsi="Helvetica" w:cs="Arial"/>
          <w:sz w:val="20"/>
          <w:lang w:val="lt-LT"/>
        </w:rPr>
        <w:t xml:space="preserve"> 50</w:t>
      </w:r>
      <w:r w:rsidR="002A5152" w:rsidRPr="002628C5">
        <w:rPr>
          <w:rFonts w:ascii="Helvetica" w:hAnsi="Helvetica" w:cs="Arial"/>
          <w:sz w:val="20"/>
          <w:lang w:val="lt-LT"/>
        </w:rPr>
        <w:t xml:space="preserve"> iki </w:t>
      </w:r>
      <w:r w:rsidRPr="002628C5">
        <w:rPr>
          <w:rFonts w:ascii="Helvetica" w:hAnsi="Helvetica" w:cs="Arial"/>
          <w:sz w:val="20"/>
          <w:lang w:val="lt-LT"/>
        </w:rPr>
        <w:t xml:space="preserve">400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kanagliflozino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</w:t>
      </w:r>
      <w:r w:rsidR="002A5152" w:rsidRPr="002628C5">
        <w:rPr>
          <w:rFonts w:ascii="Helvetica" w:hAnsi="Helvetica" w:cs="Arial"/>
          <w:sz w:val="20"/>
          <w:lang w:val="lt-LT"/>
        </w:rPr>
        <w:t>dien</w:t>
      </w:r>
      <w:r w:rsidRPr="002628C5">
        <w:rPr>
          <w:rFonts w:ascii="Helvetica" w:hAnsi="Helvetica" w:cs="Arial"/>
          <w:sz w:val="20"/>
          <w:lang w:val="lt-LT"/>
        </w:rPr>
        <w:t>ą;</w:t>
      </w:r>
    </w:p>
    <w:p w14:paraId="06D4AAF4" w14:textId="724B3EE6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dapagliflozinas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</w:t>
      </w:r>
      <w:r w:rsidR="002A5152" w:rsidRPr="002628C5">
        <w:rPr>
          <w:rFonts w:ascii="Helvetica" w:hAnsi="Helvetica" w:cs="Arial"/>
          <w:sz w:val="20"/>
          <w:lang w:val="lt-LT"/>
        </w:rPr>
        <w:t>jei jis yra</w:t>
      </w:r>
      <w:r w:rsidRPr="002628C5">
        <w:rPr>
          <w:rFonts w:ascii="Helvetica" w:hAnsi="Helvetica" w:cs="Arial"/>
          <w:sz w:val="20"/>
          <w:lang w:val="lt-LT"/>
        </w:rPr>
        <w:t xml:space="preserve">, turi būti </w:t>
      </w:r>
      <w:r w:rsidR="002A5152" w:rsidRPr="002628C5">
        <w:rPr>
          <w:rFonts w:ascii="Helvetica" w:hAnsi="Helvetica" w:cs="Arial"/>
          <w:sz w:val="20"/>
          <w:lang w:val="lt-LT"/>
        </w:rPr>
        <w:t>vartojamas farmacine vienetine doze, tinkama vartojimui per burną nuo 1 iki 20 mg</w:t>
      </w:r>
      <w:r w:rsidRPr="002628C5">
        <w:rPr>
          <w:rFonts w:ascii="Helvetica" w:hAnsi="Helvetica" w:cs="Arial"/>
          <w:sz w:val="20"/>
          <w:lang w:val="lt-LT"/>
        </w:rPr>
        <w:t xml:space="preserve"> dapagliflozino per </w:t>
      </w:r>
      <w:r w:rsidR="002A5152" w:rsidRPr="002628C5">
        <w:rPr>
          <w:rFonts w:ascii="Helvetica" w:hAnsi="Helvetica" w:cs="Arial"/>
          <w:sz w:val="20"/>
          <w:lang w:val="lt-LT"/>
        </w:rPr>
        <w:t>dieną</w:t>
      </w:r>
      <w:r w:rsidRPr="002628C5">
        <w:rPr>
          <w:rFonts w:ascii="Helvetica" w:hAnsi="Helvetica" w:cs="Arial"/>
          <w:sz w:val="20"/>
          <w:lang w:val="lt-LT"/>
        </w:rPr>
        <w:t>; ir</w:t>
      </w:r>
    </w:p>
    <w:p w14:paraId="27AF018C" w14:textId="75F35A77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</w:t>
      </w:r>
      <w:r w:rsidR="002A5152" w:rsidRPr="002628C5">
        <w:rPr>
          <w:rFonts w:ascii="Helvetica" w:hAnsi="Helvetica" w:cs="Arial"/>
          <w:sz w:val="20"/>
          <w:lang w:val="lt-LT"/>
        </w:rPr>
        <w:t>jei jis yra</w:t>
      </w:r>
      <w:r w:rsidRPr="002628C5">
        <w:rPr>
          <w:rFonts w:ascii="Helvetica" w:hAnsi="Helvetica" w:cs="Arial"/>
          <w:sz w:val="20"/>
          <w:lang w:val="lt-LT"/>
        </w:rPr>
        <w:t xml:space="preserve">, turi būti </w:t>
      </w:r>
      <w:r w:rsidR="002A5152" w:rsidRPr="002628C5">
        <w:rPr>
          <w:rFonts w:ascii="Helvetica" w:hAnsi="Helvetica" w:cs="Arial"/>
          <w:sz w:val="20"/>
          <w:lang w:val="lt-LT"/>
        </w:rPr>
        <w:t xml:space="preserve">vartojamas farmacine vienetine doze, tinkama vartojimui per burną nuo 5 iki </w:t>
      </w:r>
      <w:r w:rsidRPr="002628C5">
        <w:rPr>
          <w:rFonts w:ascii="Helvetica" w:hAnsi="Helvetica" w:cs="Arial"/>
          <w:sz w:val="20"/>
          <w:lang w:val="lt-LT"/>
        </w:rPr>
        <w:t xml:space="preserve">50 mg </w:t>
      </w:r>
      <w:proofErr w:type="spellStart"/>
      <w:r w:rsidRPr="002628C5">
        <w:rPr>
          <w:rFonts w:ascii="Helvetica" w:hAnsi="Helvetica" w:cs="Arial"/>
          <w:sz w:val="20"/>
          <w:lang w:val="lt-LT"/>
        </w:rPr>
        <w:t>empagliflozino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per </w:t>
      </w:r>
      <w:r w:rsidR="002A5152" w:rsidRPr="002628C5">
        <w:rPr>
          <w:rFonts w:ascii="Helvetica" w:hAnsi="Helvetica" w:cs="Arial"/>
          <w:sz w:val="20"/>
          <w:lang w:val="lt-LT"/>
        </w:rPr>
        <w:t>dieną</w:t>
      </w:r>
      <w:r w:rsidRPr="002628C5">
        <w:rPr>
          <w:rFonts w:ascii="Helvetica" w:hAnsi="Helvetica" w:cs="Arial"/>
          <w:sz w:val="20"/>
          <w:lang w:val="lt-LT"/>
        </w:rPr>
        <w:t>.</w:t>
      </w:r>
    </w:p>
    <w:p w14:paraId="79C77E55" w14:textId="77777777" w:rsidR="000C1296" w:rsidRPr="002628C5" w:rsidRDefault="000C1296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EAADD2" w14:textId="30C5CE1E" w:rsidR="00D313B5" w:rsidRPr="002628C5" w:rsidRDefault="00D313B5" w:rsidP="002628C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17.</w:t>
      </w:r>
      <w:r w:rsidR="000C1296" w:rsidRPr="002628C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priimtina jo druska</w:t>
      </w:r>
      <w:r w:rsidRPr="002628C5">
        <w:rPr>
          <w:rFonts w:ascii="Helvetica" w:hAnsi="Helvetica" w:cs="Arial"/>
          <w:sz w:val="20"/>
          <w:lang w:val="lt-LT"/>
        </w:rPr>
        <w:t xml:space="preserve">, </w:t>
      </w:r>
      <w:r w:rsidR="002A5152" w:rsidRPr="002628C5">
        <w:rPr>
          <w:rFonts w:ascii="Helvetica" w:hAnsi="Helvetica" w:cs="Arial"/>
          <w:sz w:val="20"/>
          <w:lang w:val="lt-LT"/>
        </w:rPr>
        <w:t>panaudoti pagal bet kurį vieną iš</w:t>
      </w:r>
      <w:r w:rsidRPr="002628C5">
        <w:rPr>
          <w:rFonts w:ascii="Helvetica" w:hAnsi="Helvetica" w:cs="Arial"/>
          <w:sz w:val="20"/>
          <w:lang w:val="lt-LT"/>
        </w:rPr>
        <w:t xml:space="preserve"> 9–16 punktų, kur </w:t>
      </w:r>
      <w:proofErr w:type="spellStart"/>
      <w:r w:rsidRPr="002628C5">
        <w:rPr>
          <w:rFonts w:ascii="Helvetica" w:hAnsi="Helvetica" w:cs="Arial"/>
          <w:sz w:val="20"/>
          <w:lang w:val="lt-LT"/>
        </w:rPr>
        <w:t>aprocitentanas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</w:t>
      </w:r>
      <w:r w:rsidR="002A5152" w:rsidRPr="002628C5">
        <w:rPr>
          <w:rFonts w:ascii="Helvetica" w:hAnsi="Helvetica" w:cs="Arial"/>
          <w:sz w:val="20"/>
          <w:lang w:val="lt-LT"/>
        </w:rPr>
        <w:t>papildomai vartojamas</w:t>
      </w:r>
      <w:r w:rsidRPr="002628C5">
        <w:rPr>
          <w:rFonts w:ascii="Helvetica" w:hAnsi="Helvetica" w:cs="Arial"/>
          <w:sz w:val="20"/>
          <w:lang w:val="lt-LT"/>
        </w:rPr>
        <w:t xml:space="preserve"> derinyje/ kartu su įprastine </w:t>
      </w:r>
      <w:r w:rsidR="0047420A" w:rsidRPr="002628C5">
        <w:rPr>
          <w:rFonts w:ascii="Helvetica" w:hAnsi="Helvetica" w:cs="Arial"/>
          <w:sz w:val="20"/>
          <w:lang w:val="lt-LT"/>
        </w:rPr>
        <w:t>bazine</w:t>
      </w:r>
      <w:r w:rsidRPr="002628C5">
        <w:rPr>
          <w:rFonts w:ascii="Helvetica" w:hAnsi="Helvetica" w:cs="Arial"/>
          <w:sz w:val="20"/>
          <w:lang w:val="lt-LT"/>
        </w:rPr>
        <w:t xml:space="preserve"> terapija, tinkama hipertenzijos, lėtinės inkstų ligos (</w:t>
      </w:r>
      <w:r w:rsidR="0047420A" w:rsidRPr="002628C5">
        <w:rPr>
          <w:rFonts w:ascii="Helvetica" w:hAnsi="Helvetica" w:cs="Arial"/>
          <w:sz w:val="20"/>
          <w:lang w:val="lt-LT"/>
        </w:rPr>
        <w:t>CKD</w:t>
      </w:r>
      <w:r w:rsidRPr="002628C5">
        <w:rPr>
          <w:rFonts w:ascii="Helvetica" w:hAnsi="Helvetica" w:cs="Arial"/>
          <w:sz w:val="20"/>
          <w:lang w:val="lt-LT"/>
        </w:rPr>
        <w:t xml:space="preserve">) arba diabeto profilaktikai arba gydymui; kur minėta įprastinė </w:t>
      </w:r>
      <w:r w:rsidR="0047420A" w:rsidRPr="002628C5">
        <w:rPr>
          <w:rFonts w:ascii="Helvetica" w:hAnsi="Helvetica" w:cs="Arial"/>
          <w:sz w:val="20"/>
          <w:lang w:val="lt-LT"/>
        </w:rPr>
        <w:t>bazin</w:t>
      </w:r>
      <w:r w:rsidRPr="002628C5">
        <w:rPr>
          <w:rFonts w:ascii="Helvetica" w:hAnsi="Helvetica" w:cs="Arial"/>
          <w:sz w:val="20"/>
          <w:lang w:val="lt-LT"/>
        </w:rPr>
        <w:t>ė terapija apima</w:t>
      </w:r>
    </w:p>
    <w:p w14:paraId="001B0DAF" w14:textId="21AFEAA2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r w:rsidR="0047420A" w:rsidRPr="002628C5">
        <w:rPr>
          <w:rFonts w:ascii="Helvetica" w:hAnsi="Helvetica" w:cs="Arial"/>
          <w:sz w:val="20"/>
          <w:lang w:val="lt-LT"/>
        </w:rPr>
        <w:t>ACE</w:t>
      </w:r>
      <w:r w:rsidRPr="002628C5">
        <w:rPr>
          <w:rFonts w:ascii="Helvetica" w:hAnsi="Helvetica" w:cs="Arial"/>
          <w:sz w:val="20"/>
          <w:lang w:val="lt-LT"/>
        </w:rPr>
        <w:t xml:space="preserve"> inhibitori</w:t>
      </w:r>
      <w:r w:rsidR="0047420A" w:rsidRPr="002628C5">
        <w:rPr>
          <w:rFonts w:ascii="Helvetica" w:hAnsi="Helvetica" w:cs="Arial"/>
          <w:sz w:val="20"/>
          <w:lang w:val="lt-LT"/>
        </w:rPr>
        <w:t>ų</w:t>
      </w:r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>farmaciniu požiūriu priimtin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r w:rsidR="007B44C7" w:rsidRPr="002628C5">
        <w:rPr>
          <w:rFonts w:ascii="Helvetica" w:hAnsi="Helvetica" w:cs="Arial"/>
          <w:sz w:val="20"/>
          <w:lang w:val="lt-LT"/>
        </w:rPr>
        <w:t xml:space="preserve"> jo drusk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r w:rsidRPr="002628C5">
        <w:rPr>
          <w:rFonts w:ascii="Helvetica" w:hAnsi="Helvetica" w:cs="Arial"/>
          <w:sz w:val="20"/>
          <w:lang w:val="lt-LT"/>
        </w:rPr>
        <w:t>; ir (arba)</w:t>
      </w:r>
    </w:p>
    <w:p w14:paraId="28E8B57D" w14:textId="0CA301AE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receptorių blokatori</w:t>
      </w:r>
      <w:r w:rsidR="0047420A" w:rsidRPr="002628C5">
        <w:rPr>
          <w:rFonts w:ascii="Helvetica" w:hAnsi="Helvetica" w:cs="Arial"/>
          <w:sz w:val="20"/>
          <w:lang w:val="lt-LT"/>
        </w:rPr>
        <w:t>ų</w:t>
      </w:r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farmaciniu požiūriu </w:t>
      </w:r>
      <w:r w:rsidR="0047420A" w:rsidRPr="002628C5">
        <w:rPr>
          <w:rFonts w:ascii="Helvetica" w:hAnsi="Helvetica" w:cs="Arial"/>
          <w:sz w:val="20"/>
          <w:lang w:val="lt-LT"/>
        </w:rPr>
        <w:t>priimtiną jo druską;</w:t>
      </w:r>
      <w:r w:rsidRPr="002628C5">
        <w:rPr>
          <w:rFonts w:ascii="Helvetica" w:hAnsi="Helvetica" w:cs="Arial"/>
          <w:sz w:val="20"/>
          <w:lang w:val="lt-LT"/>
        </w:rPr>
        <w:t xml:space="preserve"> ir (arba)</w:t>
      </w:r>
    </w:p>
    <w:p w14:paraId="02874EC1" w14:textId="5A7317D8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• kalcio kanalų blokatori</w:t>
      </w:r>
      <w:r w:rsidR="0047420A" w:rsidRPr="002628C5">
        <w:rPr>
          <w:rFonts w:ascii="Helvetica" w:hAnsi="Helvetica" w:cs="Arial"/>
          <w:sz w:val="20"/>
          <w:lang w:val="lt-LT"/>
        </w:rPr>
        <w:t>ų</w:t>
      </w:r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farmaciniu požiūriu </w:t>
      </w:r>
      <w:r w:rsidR="0047420A" w:rsidRPr="002628C5">
        <w:rPr>
          <w:rFonts w:ascii="Helvetica" w:hAnsi="Helvetica" w:cs="Arial"/>
          <w:sz w:val="20"/>
          <w:lang w:val="lt-LT"/>
        </w:rPr>
        <w:t>priimtiną jo druską</w:t>
      </w:r>
      <w:r w:rsidRPr="002628C5">
        <w:rPr>
          <w:rFonts w:ascii="Helvetica" w:hAnsi="Helvetica" w:cs="Arial"/>
          <w:sz w:val="20"/>
          <w:lang w:val="lt-LT"/>
        </w:rPr>
        <w:t>; ir (arba)</w:t>
      </w:r>
    </w:p>
    <w:p w14:paraId="1BE4FD3C" w14:textId="73AB45D5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metformin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="0047420A" w:rsidRPr="002628C5">
        <w:rPr>
          <w:rFonts w:ascii="Helvetica" w:hAnsi="Helvetica" w:cs="Arial"/>
          <w:sz w:val="20"/>
          <w:lang w:val="lt-LT"/>
        </w:rPr>
        <w:t>;</w:t>
      </w:r>
      <w:r w:rsidRPr="002628C5">
        <w:rPr>
          <w:rFonts w:ascii="Helvetica" w:hAnsi="Helvetica" w:cs="Arial"/>
          <w:sz w:val="20"/>
          <w:lang w:val="lt-LT"/>
        </w:rPr>
        <w:t xml:space="preserve"> ir (arba)</w:t>
      </w:r>
    </w:p>
    <w:p w14:paraId="3AD3A657" w14:textId="71A3FD7C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lastRenderedPageBreak/>
        <w:t>• insulin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r w:rsidRPr="002628C5">
        <w:rPr>
          <w:rFonts w:ascii="Helvetica" w:hAnsi="Helvetica" w:cs="Arial"/>
          <w:sz w:val="20"/>
          <w:lang w:val="lt-LT"/>
        </w:rPr>
        <w:t>; ir (arba)</w:t>
      </w:r>
    </w:p>
    <w:p w14:paraId="64A12348" w14:textId="74C915CD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sulfonilkarbamid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farmaciniu požiūriu </w:t>
      </w:r>
      <w:r w:rsidR="0047420A" w:rsidRPr="002628C5">
        <w:rPr>
          <w:rFonts w:ascii="Helvetica" w:hAnsi="Helvetica" w:cs="Arial"/>
          <w:sz w:val="20"/>
          <w:lang w:val="lt-LT"/>
        </w:rPr>
        <w:t>priimtiną jo druską;</w:t>
      </w:r>
      <w:r w:rsidRPr="002628C5">
        <w:rPr>
          <w:rFonts w:ascii="Helvetica" w:hAnsi="Helvetica" w:cs="Arial"/>
          <w:sz w:val="20"/>
          <w:lang w:val="lt-LT"/>
        </w:rPr>
        <w:t xml:space="preserve"> ir (arba)</w:t>
      </w:r>
    </w:p>
    <w:p w14:paraId="14D36C88" w14:textId="61564837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>• DPP-4 inhibitori</w:t>
      </w:r>
      <w:r w:rsidR="0047420A" w:rsidRPr="002628C5">
        <w:rPr>
          <w:rFonts w:ascii="Helvetica" w:hAnsi="Helvetica" w:cs="Arial"/>
          <w:sz w:val="20"/>
          <w:lang w:val="lt-LT"/>
        </w:rPr>
        <w:t>ų</w:t>
      </w:r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farmaciniu požiūriu </w:t>
      </w:r>
      <w:r w:rsidR="0047420A" w:rsidRPr="002628C5">
        <w:rPr>
          <w:rFonts w:ascii="Helvetica" w:hAnsi="Helvetica" w:cs="Arial"/>
          <w:sz w:val="20"/>
          <w:lang w:val="lt-LT"/>
        </w:rPr>
        <w:t>priimtiną jo druską;</w:t>
      </w:r>
      <w:r w:rsidRPr="002628C5">
        <w:rPr>
          <w:rFonts w:ascii="Helvetica" w:hAnsi="Helvetica" w:cs="Arial"/>
          <w:sz w:val="20"/>
          <w:lang w:val="lt-LT"/>
        </w:rPr>
        <w:t xml:space="preserve"> ir (arba)</w:t>
      </w:r>
    </w:p>
    <w:p w14:paraId="0DF75C0D" w14:textId="149AF885" w:rsidR="00D313B5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GLP-1 receptorių </w:t>
      </w:r>
      <w:proofErr w:type="spellStart"/>
      <w:r w:rsidRPr="002628C5">
        <w:rPr>
          <w:rFonts w:ascii="Helvetica" w:hAnsi="Helvetica" w:cs="Arial"/>
          <w:sz w:val="20"/>
          <w:lang w:val="lt-LT"/>
        </w:rPr>
        <w:t>agonist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="0047420A" w:rsidRPr="002628C5">
        <w:rPr>
          <w:rFonts w:ascii="Helvetica" w:hAnsi="Helvetica" w:cs="Arial"/>
          <w:sz w:val="20"/>
          <w:lang w:val="lt-LT"/>
        </w:rPr>
        <w:t>;</w:t>
      </w:r>
      <w:r w:rsidRPr="002628C5">
        <w:rPr>
          <w:rFonts w:ascii="Helvetica" w:hAnsi="Helvetica" w:cs="Arial"/>
          <w:sz w:val="20"/>
          <w:lang w:val="lt-LT"/>
        </w:rPr>
        <w:t xml:space="preserve"> ir (arba)</w:t>
      </w:r>
    </w:p>
    <w:p w14:paraId="0BDEF68C" w14:textId="422F65DB" w:rsidR="007B11E6" w:rsidRPr="002628C5" w:rsidRDefault="00D313B5" w:rsidP="002628C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2628C5">
        <w:rPr>
          <w:rFonts w:ascii="Helvetica" w:hAnsi="Helvetica" w:cs="Arial"/>
          <w:sz w:val="20"/>
          <w:lang w:val="lt-LT"/>
        </w:rPr>
        <w:t xml:space="preserve">• </w:t>
      </w:r>
      <w:proofErr w:type="spellStart"/>
      <w:r w:rsidRPr="002628C5">
        <w:rPr>
          <w:rFonts w:ascii="Helvetica" w:hAnsi="Helvetica" w:cs="Arial"/>
          <w:sz w:val="20"/>
          <w:lang w:val="lt-LT"/>
        </w:rPr>
        <w:t>tiazolidindion</w:t>
      </w:r>
      <w:r w:rsidR="0047420A" w:rsidRPr="002628C5">
        <w:rPr>
          <w:rFonts w:ascii="Helvetica" w:hAnsi="Helvetica" w:cs="Arial"/>
          <w:sz w:val="20"/>
          <w:lang w:val="lt-LT"/>
        </w:rPr>
        <w:t>ą</w:t>
      </w:r>
      <w:proofErr w:type="spellEnd"/>
      <w:r w:rsidRPr="002628C5">
        <w:rPr>
          <w:rFonts w:ascii="Helvetica" w:hAnsi="Helvetica" w:cs="Arial"/>
          <w:sz w:val="20"/>
          <w:lang w:val="lt-LT"/>
        </w:rPr>
        <w:t xml:space="preserve"> arba </w:t>
      </w:r>
      <w:r w:rsidR="007B44C7" w:rsidRPr="002628C5">
        <w:rPr>
          <w:rFonts w:ascii="Helvetica" w:hAnsi="Helvetica" w:cs="Arial"/>
          <w:sz w:val="20"/>
          <w:lang w:val="lt-LT"/>
        </w:rPr>
        <w:t xml:space="preserve">farmaciniu požiūriu </w:t>
      </w:r>
      <w:r w:rsidR="0047420A" w:rsidRPr="002628C5">
        <w:rPr>
          <w:rFonts w:ascii="Helvetica" w:hAnsi="Helvetica" w:cs="Arial"/>
          <w:sz w:val="20"/>
          <w:lang w:val="lt-LT"/>
        </w:rPr>
        <w:t>priimtiną jo druską</w:t>
      </w:r>
      <w:r w:rsidRPr="002628C5">
        <w:rPr>
          <w:rFonts w:ascii="Helvetica" w:hAnsi="Helvetica" w:cs="Arial"/>
          <w:sz w:val="20"/>
          <w:lang w:val="lt-LT"/>
        </w:rPr>
        <w:t>.</w:t>
      </w:r>
    </w:p>
    <w:sectPr w:rsidR="007B11E6" w:rsidRPr="002628C5" w:rsidSect="002628C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4AF9" w14:textId="77777777" w:rsidR="004E0461" w:rsidRDefault="004E0461" w:rsidP="007B0A41">
      <w:pPr>
        <w:spacing w:after="0" w:line="240" w:lineRule="auto"/>
      </w:pPr>
      <w:r>
        <w:separator/>
      </w:r>
    </w:p>
  </w:endnote>
  <w:endnote w:type="continuationSeparator" w:id="0">
    <w:p w14:paraId="20CD932F" w14:textId="77777777" w:rsidR="004E0461" w:rsidRDefault="004E046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BAB1" w14:textId="77777777" w:rsidR="004E0461" w:rsidRDefault="004E0461" w:rsidP="007B0A41">
      <w:pPr>
        <w:spacing w:after="0" w:line="240" w:lineRule="auto"/>
      </w:pPr>
      <w:r>
        <w:separator/>
      </w:r>
    </w:p>
  </w:footnote>
  <w:footnote w:type="continuationSeparator" w:id="0">
    <w:p w14:paraId="31FF3DC7" w14:textId="77777777" w:rsidR="004E0461" w:rsidRDefault="004E046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844FE"/>
    <w:rsid w:val="00092D0B"/>
    <w:rsid w:val="000C1296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628C5"/>
    <w:rsid w:val="002837FC"/>
    <w:rsid w:val="002A5152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05A7"/>
    <w:rsid w:val="00412B35"/>
    <w:rsid w:val="00416928"/>
    <w:rsid w:val="00431822"/>
    <w:rsid w:val="00434733"/>
    <w:rsid w:val="00443029"/>
    <w:rsid w:val="0044384C"/>
    <w:rsid w:val="00473E17"/>
    <w:rsid w:val="0047420A"/>
    <w:rsid w:val="004922D2"/>
    <w:rsid w:val="004A11D8"/>
    <w:rsid w:val="004C1469"/>
    <w:rsid w:val="004E0461"/>
    <w:rsid w:val="004F06A1"/>
    <w:rsid w:val="00500B25"/>
    <w:rsid w:val="0053198F"/>
    <w:rsid w:val="005324BA"/>
    <w:rsid w:val="00556FA2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15B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B44C7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5C89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1797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313B5"/>
    <w:rsid w:val="00D54A23"/>
    <w:rsid w:val="00D55A30"/>
    <w:rsid w:val="00D56D60"/>
    <w:rsid w:val="00D83DAA"/>
    <w:rsid w:val="00DA4CB2"/>
    <w:rsid w:val="00DB375D"/>
    <w:rsid w:val="00DF7EFB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140C4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6766F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14715320-0E56-4C01-AE76-B82D56C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5419</Characters>
  <Application>Microsoft Office Word</Application>
  <DocSecurity>0</DocSecurity>
  <Lines>98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2025-06-06T11:33:00Z</dcterms:created>
  <dcterms:modified xsi:type="dcterms:W3CDTF">2025-06-16T07:30:00Z</dcterms:modified>
</cp:coreProperties>
</file>