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4CB04" w14:textId="77777777" w:rsidR="00726B30" w:rsidRPr="00726B30" w:rsidRDefault="00726B30" w:rsidP="00726B30">
      <w:pPr>
        <w:spacing w:after="0" w:line="360" w:lineRule="auto"/>
        <w:ind w:firstLine="567"/>
        <w:jc w:val="both"/>
        <w:rPr>
          <w:rFonts w:ascii="Helvetica" w:eastAsia="Aptos" w:hAnsi="Helvetica" w:cs="Helvetica"/>
          <w:sz w:val="20"/>
          <w:lang w:val="lt-LT"/>
        </w:rPr>
      </w:pPr>
      <w:r w:rsidRPr="00726B30">
        <w:rPr>
          <w:rFonts w:ascii="Helvetica" w:eastAsia="Aptos" w:hAnsi="Helvetica" w:cs="Helvetica"/>
          <w:sz w:val="20"/>
          <w:lang w:val="lt-LT"/>
        </w:rPr>
        <w:t>1. Naviką infiltruojančių limfocitų (TIL) padauginimo iki terapinės TIL populiacijos būdas, apimantis:</w:t>
      </w:r>
    </w:p>
    <w:p w14:paraId="26DD1DEA" w14:textId="77777777" w:rsidR="00726B30" w:rsidRPr="00726B30" w:rsidRDefault="00726B30" w:rsidP="00726B30">
      <w:pPr>
        <w:spacing w:after="0" w:line="360" w:lineRule="auto"/>
        <w:jc w:val="both"/>
        <w:rPr>
          <w:rFonts w:ascii="Helvetica" w:eastAsia="Aptos" w:hAnsi="Helvetica" w:cs="Helvetica"/>
          <w:sz w:val="20"/>
          <w:lang w:val="lt-LT"/>
        </w:rPr>
      </w:pPr>
      <w:r w:rsidRPr="00726B30">
        <w:rPr>
          <w:rFonts w:ascii="Helvetica" w:eastAsia="Aptos" w:hAnsi="Helvetica" w:cs="Helvetica"/>
          <w:sz w:val="20"/>
          <w:lang w:val="lt-LT"/>
        </w:rPr>
        <w:t>(a) apdorotų naviko fragmentų, apimančių pirmąją TIL populiaciją, iš paciento išpjauto naviko pridėjimą į uždarą sistemą;</w:t>
      </w:r>
    </w:p>
    <w:p w14:paraId="0BD15C19" w14:textId="77777777" w:rsidR="00726B30" w:rsidRPr="00726B30" w:rsidRDefault="00726B30" w:rsidP="00726B30">
      <w:pPr>
        <w:spacing w:after="0" w:line="360" w:lineRule="auto"/>
        <w:jc w:val="both"/>
        <w:rPr>
          <w:rFonts w:ascii="Helvetica" w:eastAsia="Aptos" w:hAnsi="Helvetica" w:cs="Helvetica"/>
          <w:sz w:val="20"/>
          <w:lang w:val="lt-LT"/>
        </w:rPr>
      </w:pPr>
      <w:r w:rsidRPr="00726B30">
        <w:rPr>
          <w:rFonts w:ascii="Helvetica" w:eastAsia="Aptos" w:hAnsi="Helvetica" w:cs="Helvetica"/>
          <w:sz w:val="20"/>
          <w:lang w:val="lt-LT"/>
        </w:rPr>
        <w:t>(b) pirmojo padauginimo atlikimą, kultivuojant pirmąją TIL populiaciją ląstelių kultūros terpėje, apimančioje IL-2 tam, kad būtų pagaminta antroji TIL populiacija, kur pirmasis padauginimas atliekamas uždaroje talpykloje, turinčioje pirmąjį dujoms pralaidų paviršiaus plotą, kur pirmasis padauginimas atliekamas 11 dienų tam, kad būtų gauta antroji TIL populiacija, kur antroji TIL populiacija yra bent 50 kartų gausesnė už pirmąją TIL populiaciją, ir kur perėjimas nuo (a) etapo prie (b) etapo vyksta neatidarant sistemos;</w:t>
      </w:r>
    </w:p>
    <w:p w14:paraId="79C6E67F" w14:textId="77777777" w:rsidR="00726B30" w:rsidRPr="00726B30" w:rsidRDefault="00726B30" w:rsidP="00726B30">
      <w:pPr>
        <w:spacing w:after="0" w:line="360" w:lineRule="auto"/>
        <w:jc w:val="both"/>
        <w:rPr>
          <w:rFonts w:ascii="Helvetica" w:eastAsia="Aptos" w:hAnsi="Helvetica" w:cs="Helvetica"/>
          <w:sz w:val="20"/>
          <w:lang w:val="lt-LT"/>
        </w:rPr>
      </w:pPr>
      <w:r w:rsidRPr="00726B30">
        <w:rPr>
          <w:rFonts w:ascii="Helvetica" w:eastAsia="Aptos" w:hAnsi="Helvetica" w:cs="Helvetica"/>
          <w:sz w:val="20"/>
          <w:lang w:val="lt-LT"/>
        </w:rPr>
        <w:t>(c) antrojo padauginimo atlikimą, papildant antrosios TIL populiacijos ląstelių kultūros terpę papildomais IL-2, OKT-3 ir antigeną pateikiančiomis ląstelėmis (APC) tam, kad susidarytų trečioji TIL populiacija, kur antrasis padauginimas atliekamas 11 dienų tam, kad būtų pagaminta trečioji TIL populiacija, kur trečioji TIL populiacija yra terapinė TIL populiacija, kur antrasis padauginimas atliekama uždaroje talpykloje, turinčioje antrą dujoms pralaidų paviršiaus plotą, ir kur perėjimas nuo etapo (b) prie etapo (c) vyksta neatidarant sistemos, ir kur antigeną pateikiančios ląstelės pridedamos prie TIL etape (c) neatidarant sistemos;</w:t>
      </w:r>
    </w:p>
    <w:p w14:paraId="5E8597E9" w14:textId="6A256081" w:rsidR="00726B30" w:rsidRPr="00726B30" w:rsidRDefault="00726B30" w:rsidP="00726B30">
      <w:pPr>
        <w:spacing w:after="0" w:line="360" w:lineRule="auto"/>
        <w:jc w:val="both"/>
        <w:rPr>
          <w:rFonts w:ascii="Helvetica" w:eastAsia="Aptos" w:hAnsi="Helvetica" w:cs="Helvetica"/>
          <w:sz w:val="20"/>
          <w:lang w:val="lt-LT"/>
        </w:rPr>
      </w:pPr>
      <w:r w:rsidRPr="00726B30">
        <w:rPr>
          <w:rFonts w:ascii="Helvetica" w:eastAsia="Aptos" w:hAnsi="Helvetica" w:cs="Helvetica"/>
          <w:sz w:val="20"/>
          <w:lang w:val="lt-LT"/>
        </w:rPr>
        <w:t>(d) terapinės TIL populiacijos, gautos</w:t>
      </w:r>
      <w:r w:rsidRPr="00726B30">
        <w:rPr>
          <w:rFonts w:ascii="Helvetica" w:eastAsia="Aptos" w:hAnsi="Helvetica" w:cs="Helvetica"/>
          <w:sz w:val="20"/>
          <w:lang w:val="lt-LT"/>
        </w:rPr>
        <w:t xml:space="preserve"> </w:t>
      </w:r>
      <w:r w:rsidRPr="00726B30">
        <w:rPr>
          <w:rFonts w:ascii="Helvetica" w:eastAsia="Aptos" w:hAnsi="Helvetica" w:cs="Helvetica"/>
          <w:sz w:val="20"/>
          <w:lang w:val="lt-LT"/>
        </w:rPr>
        <w:t>etape (c), surinkimą, kur perėjimas nuo etapo (c) prie etapo (d) vyksta neatidarant sistemos, ir</w:t>
      </w:r>
    </w:p>
    <w:p w14:paraId="4621B690" w14:textId="51B8BDF1" w:rsidR="00726B30" w:rsidRPr="00726B30" w:rsidRDefault="00726B30" w:rsidP="00726B30">
      <w:pPr>
        <w:spacing w:after="0" w:line="360" w:lineRule="auto"/>
        <w:jc w:val="both"/>
        <w:rPr>
          <w:rFonts w:ascii="Helvetica" w:eastAsia="Aptos" w:hAnsi="Helvetica" w:cs="Helvetica"/>
          <w:sz w:val="20"/>
          <w:lang w:val="lt-LT"/>
        </w:rPr>
      </w:pPr>
      <w:r w:rsidRPr="00726B30">
        <w:rPr>
          <w:rFonts w:ascii="Helvetica" w:eastAsia="Aptos" w:hAnsi="Helvetica" w:cs="Helvetica"/>
          <w:sz w:val="20"/>
          <w:lang w:val="lt-LT"/>
        </w:rPr>
        <w:t>(e)</w:t>
      </w:r>
      <w:r w:rsidRPr="00726B30">
        <w:rPr>
          <w:rFonts w:ascii="Helvetica" w:eastAsia="Aptos" w:hAnsi="Helvetica" w:cs="Helvetica"/>
          <w:sz w:val="20"/>
          <w:lang w:val="lt-LT"/>
        </w:rPr>
        <w:t xml:space="preserve"> </w:t>
      </w:r>
      <w:r w:rsidRPr="00726B30">
        <w:rPr>
          <w:rFonts w:ascii="Helvetica" w:eastAsia="Aptos" w:hAnsi="Helvetica" w:cs="Helvetica"/>
          <w:sz w:val="20"/>
          <w:lang w:val="lt-LT"/>
        </w:rPr>
        <w:t>surinktos etape (d) TIL populiacijos perkėlimą į infuzinį maišelį, kur perkėlimas nuo etapo (d) prie etapo (e) vyksta neatidarant sistemos,</w:t>
      </w:r>
    </w:p>
    <w:p w14:paraId="166581E4" w14:textId="5280BE5A" w:rsidR="00726B30" w:rsidRPr="00726B30" w:rsidRDefault="00726B30" w:rsidP="00726B30">
      <w:pPr>
        <w:spacing w:after="0" w:line="360" w:lineRule="auto"/>
        <w:jc w:val="both"/>
        <w:rPr>
          <w:rFonts w:ascii="Helvetica" w:eastAsia="Aptos" w:hAnsi="Helvetica" w:cs="Helvetica"/>
          <w:sz w:val="20"/>
          <w:lang w:val="lt-LT"/>
        </w:rPr>
      </w:pPr>
      <w:r w:rsidRPr="00726B30">
        <w:rPr>
          <w:rFonts w:ascii="Helvetica" w:eastAsia="Aptos" w:hAnsi="Helvetica" w:cs="Helvetica"/>
          <w:sz w:val="20"/>
          <w:lang w:val="lt-LT"/>
        </w:rPr>
        <w:t>kur</w:t>
      </w:r>
      <w:r w:rsidRPr="00726B30">
        <w:rPr>
          <w:rFonts w:ascii="Helvetica" w:eastAsia="Aptos" w:hAnsi="Helvetica" w:cs="Helvetica"/>
          <w:sz w:val="20"/>
          <w:lang w:val="lt-LT"/>
        </w:rPr>
        <w:t xml:space="preserve"> </w:t>
      </w:r>
      <w:r w:rsidRPr="00726B30">
        <w:rPr>
          <w:rFonts w:ascii="Helvetica" w:eastAsia="Aptos" w:hAnsi="Helvetica" w:cs="Helvetica"/>
          <w:sz w:val="20"/>
          <w:lang w:val="lt-LT"/>
        </w:rPr>
        <w:t xml:space="preserve">etape (d) surinktą terapinė TIL populiacija apima pakankamą TIL kiekį </w:t>
      </w:r>
      <w:proofErr w:type="spellStart"/>
      <w:r w:rsidRPr="00726B30">
        <w:rPr>
          <w:rFonts w:ascii="Helvetica" w:eastAsia="Aptos" w:hAnsi="Helvetica" w:cs="Helvetica"/>
          <w:sz w:val="20"/>
          <w:lang w:val="lt-LT"/>
        </w:rPr>
        <w:t>terapiškai</w:t>
      </w:r>
      <w:proofErr w:type="spellEnd"/>
      <w:r w:rsidRPr="00726B30">
        <w:rPr>
          <w:rFonts w:ascii="Helvetica" w:eastAsia="Aptos" w:hAnsi="Helvetica" w:cs="Helvetica"/>
          <w:sz w:val="20"/>
          <w:lang w:val="lt-LT"/>
        </w:rPr>
        <w:t xml:space="preserve"> veiksmingai TIL dozei, ir kur būdas taip pat apima:</w:t>
      </w:r>
    </w:p>
    <w:p w14:paraId="763A6E26" w14:textId="77777777" w:rsidR="00726B30" w:rsidRPr="00726B30" w:rsidRDefault="00726B30" w:rsidP="00726B30">
      <w:pPr>
        <w:spacing w:after="0" w:line="360" w:lineRule="auto"/>
        <w:jc w:val="both"/>
        <w:rPr>
          <w:rFonts w:ascii="Helvetica" w:eastAsia="Aptos" w:hAnsi="Helvetica" w:cs="Helvetica"/>
          <w:sz w:val="20"/>
          <w:lang w:val="lt-LT"/>
        </w:rPr>
      </w:pPr>
      <w:r w:rsidRPr="00726B30">
        <w:rPr>
          <w:rFonts w:ascii="Helvetica" w:eastAsia="Aptos" w:hAnsi="Helvetica" w:cs="Helvetica"/>
          <w:sz w:val="20"/>
          <w:lang w:val="lt-LT"/>
        </w:rPr>
        <w:t xml:space="preserve">(f) infuzinio maišelio, apimančio etape (e) surinktą TIL populiaciją, </w:t>
      </w:r>
      <w:proofErr w:type="spellStart"/>
      <w:r w:rsidRPr="00726B30">
        <w:rPr>
          <w:rFonts w:ascii="Helvetica" w:eastAsia="Aptos" w:hAnsi="Helvetica" w:cs="Helvetica"/>
          <w:sz w:val="20"/>
          <w:lang w:val="lt-LT"/>
        </w:rPr>
        <w:t>kriokonservavimas</w:t>
      </w:r>
      <w:proofErr w:type="spellEnd"/>
      <w:r w:rsidRPr="00726B30">
        <w:rPr>
          <w:rFonts w:ascii="Helvetica" w:eastAsia="Aptos" w:hAnsi="Helvetica" w:cs="Helvetica"/>
          <w:sz w:val="20"/>
          <w:lang w:val="lt-LT"/>
        </w:rPr>
        <w:t xml:space="preserve"> naudojant </w:t>
      </w:r>
      <w:proofErr w:type="spellStart"/>
      <w:r w:rsidRPr="00726B30">
        <w:rPr>
          <w:rFonts w:ascii="Helvetica" w:eastAsia="Aptos" w:hAnsi="Helvetica" w:cs="Helvetica"/>
          <w:sz w:val="20"/>
          <w:lang w:val="lt-LT"/>
        </w:rPr>
        <w:t>kriokonservavimo</w:t>
      </w:r>
      <w:proofErr w:type="spellEnd"/>
      <w:r w:rsidRPr="00726B30">
        <w:rPr>
          <w:rFonts w:ascii="Helvetica" w:eastAsia="Aptos" w:hAnsi="Helvetica" w:cs="Helvetica"/>
          <w:sz w:val="20"/>
          <w:lang w:val="lt-LT"/>
        </w:rPr>
        <w:t xml:space="preserve"> procesą.</w:t>
      </w:r>
    </w:p>
    <w:p w14:paraId="30D1A4C7" w14:textId="77777777" w:rsidR="00726B30" w:rsidRPr="00726B30" w:rsidRDefault="00726B30" w:rsidP="00726B30">
      <w:pPr>
        <w:spacing w:after="0" w:line="360" w:lineRule="auto"/>
        <w:jc w:val="both"/>
        <w:rPr>
          <w:rFonts w:ascii="Helvetica" w:eastAsia="Aptos" w:hAnsi="Helvetica" w:cs="Helvetica"/>
          <w:sz w:val="20"/>
          <w:lang w:val="lt-LT"/>
        </w:rPr>
      </w:pPr>
    </w:p>
    <w:p w14:paraId="3472B77A" w14:textId="4A09D4ED" w:rsidR="00726B30" w:rsidRPr="00726B30" w:rsidRDefault="00726B30" w:rsidP="00726B30">
      <w:pPr>
        <w:spacing w:after="0" w:line="360" w:lineRule="auto"/>
        <w:ind w:firstLine="567"/>
        <w:jc w:val="both"/>
        <w:rPr>
          <w:rFonts w:ascii="Helvetica" w:eastAsia="Aptos" w:hAnsi="Helvetica" w:cs="Helvetica"/>
          <w:sz w:val="20"/>
          <w:lang w:val="lt-LT"/>
        </w:rPr>
      </w:pPr>
      <w:r w:rsidRPr="00726B30">
        <w:rPr>
          <w:rFonts w:ascii="Helvetica" w:eastAsia="Aptos" w:hAnsi="Helvetica" w:cs="Helvetica"/>
          <w:sz w:val="20"/>
          <w:lang w:val="lt-LT"/>
        </w:rPr>
        <w:t xml:space="preserve">2. Būdas pagal 1 punktą, kur būdas prieš </w:t>
      </w:r>
      <w:proofErr w:type="spellStart"/>
      <w:r w:rsidRPr="00726B30">
        <w:rPr>
          <w:rFonts w:ascii="Helvetica" w:eastAsia="Aptos" w:hAnsi="Helvetica" w:cs="Helvetica"/>
          <w:sz w:val="20"/>
          <w:lang w:val="lt-LT"/>
        </w:rPr>
        <w:t>etapa</w:t>
      </w:r>
      <w:proofErr w:type="spellEnd"/>
      <w:r w:rsidRPr="00726B30">
        <w:rPr>
          <w:rFonts w:ascii="Helvetica" w:eastAsia="Aptos" w:hAnsi="Helvetica" w:cs="Helvetica"/>
          <w:sz w:val="20"/>
          <w:lang w:val="lt-LT"/>
        </w:rPr>
        <w:t xml:space="preserve"> (a) apima pirmosios TIL populiacijos gavimo iš</w:t>
      </w:r>
      <w:r w:rsidRPr="00726B30">
        <w:rPr>
          <w:rFonts w:ascii="Helvetica" w:eastAsia="Aptos" w:hAnsi="Helvetica" w:cs="Helvetica"/>
          <w:sz w:val="20"/>
          <w:szCs w:val="22"/>
          <w:lang w:val="lt-LT"/>
        </w:rPr>
        <w:t xml:space="preserve"> </w:t>
      </w:r>
      <w:r w:rsidRPr="00726B30">
        <w:rPr>
          <w:rFonts w:ascii="Helvetica" w:eastAsia="Aptos" w:hAnsi="Helvetica" w:cs="Helvetica"/>
          <w:sz w:val="20"/>
          <w:lang w:val="lt-LT"/>
        </w:rPr>
        <w:t>naviko, pašalinto iš subjekto, veiksmą, kai iš paciento gautas naviko mėginys susmulkinamas į daugybę naviko fragmentų.</w:t>
      </w:r>
    </w:p>
    <w:p w14:paraId="265D297F" w14:textId="77777777" w:rsidR="00726B30" w:rsidRPr="00726B30" w:rsidRDefault="00726B30" w:rsidP="00726B30">
      <w:pPr>
        <w:spacing w:after="0" w:line="360" w:lineRule="auto"/>
        <w:jc w:val="both"/>
        <w:rPr>
          <w:rFonts w:ascii="Helvetica" w:eastAsia="Aptos" w:hAnsi="Helvetica" w:cs="Helvetica"/>
          <w:sz w:val="20"/>
          <w:lang w:val="lt-LT"/>
        </w:rPr>
      </w:pPr>
    </w:p>
    <w:p w14:paraId="78EC29FB" w14:textId="77777777" w:rsidR="00726B30" w:rsidRPr="00726B30" w:rsidRDefault="00726B30" w:rsidP="00726B30">
      <w:pPr>
        <w:spacing w:after="0" w:line="360" w:lineRule="auto"/>
        <w:ind w:firstLine="567"/>
        <w:jc w:val="both"/>
        <w:rPr>
          <w:rFonts w:ascii="Helvetica" w:eastAsia="Aptos" w:hAnsi="Helvetica" w:cs="Helvetica"/>
          <w:sz w:val="20"/>
          <w:lang w:val="lt-LT"/>
        </w:rPr>
      </w:pPr>
      <w:r w:rsidRPr="00726B30">
        <w:rPr>
          <w:rFonts w:ascii="Helvetica" w:eastAsia="Aptos" w:hAnsi="Helvetica" w:cs="Helvetica"/>
          <w:sz w:val="20"/>
          <w:lang w:val="lt-LT"/>
        </w:rPr>
        <w:t xml:space="preserve">3. Būdas pagal 1 arba 2 punktą, kur APC yra periferinio kraujo </w:t>
      </w:r>
      <w:proofErr w:type="spellStart"/>
      <w:r w:rsidRPr="00726B30">
        <w:rPr>
          <w:rFonts w:ascii="Helvetica" w:eastAsia="Aptos" w:hAnsi="Helvetica" w:cs="Helvetica"/>
          <w:sz w:val="20"/>
          <w:lang w:val="lt-LT"/>
        </w:rPr>
        <w:t>vienbranduolės</w:t>
      </w:r>
      <w:proofErr w:type="spellEnd"/>
      <w:r w:rsidRPr="00726B30">
        <w:rPr>
          <w:rFonts w:ascii="Helvetica" w:eastAsia="Aptos" w:hAnsi="Helvetica" w:cs="Helvetica"/>
          <w:sz w:val="20"/>
          <w:lang w:val="lt-LT"/>
        </w:rPr>
        <w:t xml:space="preserve"> ląstelės (PBMC).</w:t>
      </w:r>
    </w:p>
    <w:p w14:paraId="17138AEE" w14:textId="07D19AE2" w:rsidR="00726B30" w:rsidRPr="00726B30" w:rsidRDefault="00726B30" w:rsidP="00726B30">
      <w:pPr>
        <w:spacing w:after="0" w:line="360" w:lineRule="auto"/>
        <w:jc w:val="both"/>
        <w:rPr>
          <w:rFonts w:ascii="Helvetica" w:eastAsia="Aptos" w:hAnsi="Helvetica" w:cs="Helvetica"/>
          <w:sz w:val="20"/>
          <w:lang w:val="lt-LT"/>
        </w:rPr>
      </w:pPr>
    </w:p>
    <w:p w14:paraId="63C592F7" w14:textId="77777777" w:rsidR="00726B30" w:rsidRPr="00726B30" w:rsidRDefault="00726B30" w:rsidP="00726B30">
      <w:pPr>
        <w:spacing w:after="0" w:line="360" w:lineRule="auto"/>
        <w:ind w:firstLine="567"/>
        <w:jc w:val="both"/>
        <w:rPr>
          <w:rFonts w:ascii="Helvetica" w:eastAsia="Aptos" w:hAnsi="Helvetica" w:cs="Helvetica"/>
          <w:sz w:val="20"/>
          <w:lang w:val="lt-LT"/>
        </w:rPr>
      </w:pPr>
      <w:r w:rsidRPr="00726B30">
        <w:rPr>
          <w:rFonts w:ascii="Helvetica" w:eastAsia="Aptos" w:hAnsi="Helvetica" w:cs="Helvetica"/>
          <w:sz w:val="20"/>
          <w:lang w:val="lt-LT"/>
        </w:rPr>
        <w:t>4. Būdas pagal 3 punktą, kur PBMC pridedamos santykiu 1:25 TIL:PBMC.</w:t>
      </w:r>
    </w:p>
    <w:p w14:paraId="2C752612" w14:textId="77777777" w:rsidR="00726B30" w:rsidRPr="00726B30" w:rsidRDefault="00726B30" w:rsidP="00726B30">
      <w:pPr>
        <w:spacing w:after="0" w:line="360" w:lineRule="auto"/>
        <w:jc w:val="both"/>
        <w:rPr>
          <w:rFonts w:ascii="Helvetica" w:eastAsia="Aptos" w:hAnsi="Helvetica" w:cs="Helvetica"/>
          <w:sz w:val="20"/>
          <w:lang w:val="lt-LT"/>
        </w:rPr>
      </w:pPr>
    </w:p>
    <w:p w14:paraId="746528A6" w14:textId="77777777" w:rsidR="00726B30" w:rsidRPr="00726B30" w:rsidRDefault="00726B30" w:rsidP="00726B30">
      <w:pPr>
        <w:spacing w:after="0" w:line="360" w:lineRule="auto"/>
        <w:ind w:firstLine="567"/>
        <w:jc w:val="both"/>
        <w:rPr>
          <w:rFonts w:ascii="Helvetica" w:eastAsia="Aptos" w:hAnsi="Helvetica" w:cs="Helvetica"/>
          <w:sz w:val="20"/>
          <w:lang w:val="lt-LT"/>
        </w:rPr>
      </w:pPr>
      <w:r w:rsidRPr="00726B30">
        <w:rPr>
          <w:rFonts w:ascii="Helvetica" w:eastAsia="Aptos" w:hAnsi="Helvetica" w:cs="Helvetica"/>
          <w:sz w:val="20"/>
          <w:lang w:val="lt-LT"/>
        </w:rPr>
        <w:t>5. Būdas pagal 1 punktą, kur</w:t>
      </w:r>
      <w:r w:rsidRPr="00726B30">
        <w:rPr>
          <w:rFonts w:ascii="Helvetica" w:eastAsia="Aptos" w:hAnsi="Helvetica" w:cs="Helvetica"/>
          <w:sz w:val="20"/>
          <w:lang w:val="lt-LT"/>
        </w:rPr>
        <w:t xml:space="preserve"> </w:t>
      </w:r>
      <w:r w:rsidRPr="00726B30">
        <w:rPr>
          <w:rFonts w:ascii="Helvetica" w:eastAsia="Aptos" w:hAnsi="Helvetica" w:cs="Helvetica"/>
          <w:sz w:val="20"/>
          <w:lang w:val="lt-LT"/>
        </w:rPr>
        <w:t>etapai (a)- (e) atliekami per 22 dienas.</w:t>
      </w:r>
    </w:p>
    <w:p w14:paraId="7D42E125" w14:textId="77777777" w:rsidR="00726B30" w:rsidRPr="00726B30" w:rsidRDefault="00726B30" w:rsidP="00726B30">
      <w:pPr>
        <w:spacing w:after="0" w:line="360" w:lineRule="auto"/>
        <w:jc w:val="both"/>
        <w:rPr>
          <w:rFonts w:ascii="Helvetica" w:eastAsia="Aptos" w:hAnsi="Helvetica" w:cs="Helvetica"/>
          <w:sz w:val="20"/>
          <w:lang w:val="lt-LT"/>
        </w:rPr>
      </w:pPr>
    </w:p>
    <w:p w14:paraId="0947408B" w14:textId="67D54EF4" w:rsidR="00726B30" w:rsidRPr="00726B30" w:rsidRDefault="00726B30" w:rsidP="00726B30">
      <w:pPr>
        <w:spacing w:after="0" w:line="360" w:lineRule="auto"/>
        <w:ind w:firstLine="567"/>
        <w:jc w:val="both"/>
        <w:rPr>
          <w:rFonts w:ascii="Helvetica" w:eastAsia="Aptos" w:hAnsi="Helvetica" w:cs="Helvetica"/>
          <w:sz w:val="20"/>
          <w:lang w:val="lt-LT"/>
        </w:rPr>
      </w:pPr>
      <w:r w:rsidRPr="00726B30">
        <w:rPr>
          <w:rFonts w:ascii="Helvetica" w:eastAsia="Aptos" w:hAnsi="Helvetica" w:cs="Helvetica"/>
          <w:sz w:val="20"/>
          <w:lang w:val="lt-LT"/>
        </w:rPr>
        <w:t>6. Būdas pagal bet kurį iš ankstesnių punktų, kur mikrobinio užteršimo rizika yra sumažinta, palyginti su atvira sistema.</w:t>
      </w:r>
    </w:p>
    <w:p w14:paraId="78C0E463" w14:textId="77777777" w:rsidR="00726B30" w:rsidRPr="00726B30" w:rsidRDefault="00726B30" w:rsidP="00726B30">
      <w:pPr>
        <w:spacing w:after="0" w:line="360" w:lineRule="auto"/>
        <w:jc w:val="both"/>
        <w:rPr>
          <w:rFonts w:ascii="Helvetica" w:eastAsia="Aptos" w:hAnsi="Helvetica" w:cs="Helvetica"/>
          <w:sz w:val="20"/>
          <w:lang w:val="lt-LT"/>
        </w:rPr>
      </w:pPr>
    </w:p>
    <w:p w14:paraId="0D83CECB" w14:textId="77777777" w:rsidR="00726B30" w:rsidRPr="00726B30" w:rsidRDefault="00726B30" w:rsidP="00726B30">
      <w:pPr>
        <w:spacing w:after="0" w:line="360" w:lineRule="auto"/>
        <w:ind w:firstLine="567"/>
        <w:jc w:val="both"/>
        <w:rPr>
          <w:rFonts w:ascii="Helvetica" w:eastAsia="Aptos" w:hAnsi="Helvetica" w:cs="Helvetica"/>
          <w:sz w:val="20"/>
          <w:lang w:val="lt-LT"/>
        </w:rPr>
      </w:pPr>
      <w:r w:rsidRPr="00726B30">
        <w:rPr>
          <w:rFonts w:ascii="Helvetica" w:eastAsia="Aptos" w:hAnsi="Helvetica" w:cs="Helvetica"/>
          <w:sz w:val="20"/>
          <w:lang w:val="lt-LT"/>
        </w:rPr>
        <w:t>7. Būdas pagal 1 punktą, kur nė vieno iš (a)-(f) etapų metu neatliekama pirmosios TIL populiacijos, antrosios TIL populiacijos, trečiosios TIL populiacijos, surinktos TIL populiacijos ir (arba) terapinės TIL populiacijos atranka.</w:t>
      </w:r>
    </w:p>
    <w:p w14:paraId="14A1015D" w14:textId="38562DEA" w:rsidR="00726B30" w:rsidRPr="00726B30" w:rsidRDefault="00726B30" w:rsidP="00726B30">
      <w:pPr>
        <w:spacing w:after="0" w:line="360" w:lineRule="auto"/>
        <w:jc w:val="both"/>
        <w:rPr>
          <w:rFonts w:ascii="Helvetica" w:eastAsia="Aptos" w:hAnsi="Helvetica" w:cs="Helvetica"/>
          <w:sz w:val="20"/>
          <w:lang w:val="lt-LT"/>
        </w:rPr>
      </w:pPr>
    </w:p>
    <w:p w14:paraId="7FBE086D" w14:textId="77777777" w:rsidR="00726B30" w:rsidRPr="00726B30" w:rsidRDefault="00726B30" w:rsidP="00726B30">
      <w:pPr>
        <w:spacing w:after="0" w:line="360" w:lineRule="auto"/>
        <w:ind w:firstLine="567"/>
        <w:jc w:val="both"/>
        <w:rPr>
          <w:rFonts w:ascii="Helvetica" w:eastAsia="Aptos" w:hAnsi="Helvetica" w:cs="Helvetica"/>
          <w:sz w:val="20"/>
          <w:lang w:val="lt-LT"/>
        </w:rPr>
      </w:pPr>
      <w:r w:rsidRPr="00726B30">
        <w:rPr>
          <w:rFonts w:ascii="Helvetica" w:eastAsia="Aptos" w:hAnsi="Helvetica" w:cs="Helvetica"/>
          <w:sz w:val="20"/>
          <w:lang w:val="lt-LT"/>
        </w:rPr>
        <w:t xml:space="preserve">8. Būdas pagal bet kurį iš ankstesnių punktų, kur trečioji TIL populiacija etape (d) yra terapinė TIL populiacija, kuri apima padidintą </w:t>
      </w:r>
      <w:proofErr w:type="spellStart"/>
      <w:r w:rsidRPr="00726B30">
        <w:rPr>
          <w:rFonts w:ascii="Helvetica" w:eastAsia="Aptos" w:hAnsi="Helvetica" w:cs="Helvetica"/>
          <w:sz w:val="20"/>
          <w:lang w:val="lt-LT"/>
        </w:rPr>
        <w:t>efektorinių</w:t>
      </w:r>
      <w:proofErr w:type="spellEnd"/>
      <w:r w:rsidRPr="00726B30">
        <w:rPr>
          <w:rFonts w:ascii="Helvetica" w:eastAsia="Aptos" w:hAnsi="Helvetica" w:cs="Helvetica"/>
          <w:sz w:val="20"/>
          <w:lang w:val="lt-LT"/>
        </w:rPr>
        <w:t xml:space="preserve"> T ląstelių ir (arba) centrinės atminties T ląstelių </w:t>
      </w:r>
      <w:proofErr w:type="spellStart"/>
      <w:r w:rsidRPr="00726B30">
        <w:rPr>
          <w:rFonts w:ascii="Helvetica" w:eastAsia="Aptos" w:hAnsi="Helvetica" w:cs="Helvetica"/>
          <w:sz w:val="20"/>
          <w:lang w:val="lt-LT"/>
        </w:rPr>
        <w:t>subpopuliacija</w:t>
      </w:r>
      <w:proofErr w:type="spellEnd"/>
      <w:r w:rsidRPr="00726B30">
        <w:rPr>
          <w:rFonts w:ascii="Helvetica" w:eastAsia="Aptos" w:hAnsi="Helvetica" w:cs="Helvetica"/>
          <w:sz w:val="20"/>
          <w:lang w:val="lt-LT"/>
        </w:rPr>
        <w:t xml:space="preserve">, palyginti su antrąja TIL populiacija, kur terapinėje TIL populiacijoje gautos </w:t>
      </w:r>
      <w:proofErr w:type="spellStart"/>
      <w:r w:rsidRPr="00726B30">
        <w:rPr>
          <w:rFonts w:ascii="Helvetica" w:eastAsia="Aptos" w:hAnsi="Helvetica" w:cs="Helvetica"/>
          <w:sz w:val="20"/>
          <w:lang w:val="lt-LT"/>
        </w:rPr>
        <w:t>efektorinės</w:t>
      </w:r>
      <w:proofErr w:type="spellEnd"/>
      <w:r w:rsidRPr="00726B30">
        <w:rPr>
          <w:rFonts w:ascii="Helvetica" w:eastAsia="Aptos" w:hAnsi="Helvetica" w:cs="Helvetica"/>
          <w:sz w:val="20"/>
          <w:lang w:val="lt-LT"/>
        </w:rPr>
        <w:t xml:space="preserve"> T ląstelės ir (arba) centrinės atminties T ląstelės pasižymi viena arba daugiau savybių, pasirinktų iš grupės, kurią sudaro CD27+ </w:t>
      </w:r>
      <w:r w:rsidRPr="00726B30">
        <w:rPr>
          <w:rFonts w:ascii="Helvetica" w:eastAsia="Aptos" w:hAnsi="Helvetica" w:cs="Helvetica"/>
          <w:sz w:val="20"/>
          <w:lang w:val="lt-LT"/>
        </w:rPr>
        <w:lastRenderedPageBreak/>
        <w:t xml:space="preserve">raiška, CD28+ raiška, ilgesni </w:t>
      </w:r>
      <w:proofErr w:type="spellStart"/>
      <w:r w:rsidRPr="00726B30">
        <w:rPr>
          <w:rFonts w:ascii="Helvetica" w:eastAsia="Aptos" w:hAnsi="Helvetica" w:cs="Helvetica"/>
          <w:sz w:val="20"/>
          <w:lang w:val="lt-LT"/>
        </w:rPr>
        <w:t>telomerai</w:t>
      </w:r>
      <w:proofErr w:type="spellEnd"/>
      <w:r w:rsidRPr="00726B30">
        <w:rPr>
          <w:rFonts w:ascii="Helvetica" w:eastAsia="Aptos" w:hAnsi="Helvetica" w:cs="Helvetica"/>
          <w:sz w:val="20"/>
          <w:lang w:val="lt-LT"/>
        </w:rPr>
        <w:t xml:space="preserve">, padidėjusi CD57 raiška ir sumažėjusi CD56 raiška, palyginti su </w:t>
      </w:r>
      <w:proofErr w:type="spellStart"/>
      <w:r w:rsidRPr="00726B30">
        <w:rPr>
          <w:rFonts w:ascii="Helvetica" w:eastAsia="Aptos" w:hAnsi="Helvetica" w:cs="Helvetica"/>
          <w:sz w:val="20"/>
          <w:lang w:val="lt-LT"/>
        </w:rPr>
        <w:t>efektorinėmis</w:t>
      </w:r>
      <w:proofErr w:type="spellEnd"/>
      <w:r w:rsidRPr="00726B30">
        <w:rPr>
          <w:rFonts w:ascii="Helvetica" w:eastAsia="Aptos" w:hAnsi="Helvetica" w:cs="Helvetica"/>
          <w:sz w:val="20"/>
          <w:lang w:val="lt-LT"/>
        </w:rPr>
        <w:t xml:space="preserve"> T ląstelėmis ir (arba) centrinės atminties T ląstelėmis, gautomis iš antrosios ląstelių populiacijos.</w:t>
      </w:r>
    </w:p>
    <w:sectPr w:rsidR="00726B30" w:rsidRPr="00726B30" w:rsidSect="00726B30">
      <w:pgSz w:w="11906" w:h="16838"/>
      <w:pgMar w:top="1134" w:right="567" w:bottom="567" w:left="1701"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6D880" w14:textId="77777777" w:rsidR="00726B30" w:rsidRDefault="00726B30" w:rsidP="00726B30">
      <w:pPr>
        <w:spacing w:after="0" w:line="240" w:lineRule="auto"/>
      </w:pPr>
      <w:r>
        <w:separator/>
      </w:r>
    </w:p>
  </w:endnote>
  <w:endnote w:type="continuationSeparator" w:id="0">
    <w:p w14:paraId="00E6DFFD" w14:textId="77777777" w:rsidR="00726B30" w:rsidRDefault="00726B30" w:rsidP="00726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8B9E1" w14:textId="77777777" w:rsidR="00726B30" w:rsidRDefault="00726B30" w:rsidP="00726B30">
      <w:pPr>
        <w:spacing w:after="0" w:line="240" w:lineRule="auto"/>
      </w:pPr>
      <w:r>
        <w:separator/>
      </w:r>
    </w:p>
  </w:footnote>
  <w:footnote w:type="continuationSeparator" w:id="0">
    <w:p w14:paraId="6BFC7036" w14:textId="77777777" w:rsidR="00726B30" w:rsidRDefault="00726B30" w:rsidP="00726B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B30"/>
    <w:rsid w:val="001D413E"/>
    <w:rsid w:val="002F6125"/>
    <w:rsid w:val="00671E00"/>
    <w:rsid w:val="00726B30"/>
    <w:rsid w:val="007B2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43883"/>
  <w14:defaultImageDpi w14:val="32767"/>
  <w15:chartTrackingRefBased/>
  <w15:docId w15:val="{CBF7C68A-09A0-4298-883C-F70C9D743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726B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726B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726B30"/>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726B30"/>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726B30"/>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726B30"/>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726B30"/>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726B30"/>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726B30"/>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726B30"/>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726B30"/>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726B30"/>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726B30"/>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726B30"/>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726B30"/>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726B30"/>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726B30"/>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726B30"/>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726B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726B30"/>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726B30"/>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726B30"/>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726B30"/>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726B30"/>
    <w:rPr>
      <w:i/>
      <w:iCs/>
      <w:color w:val="404040" w:themeColor="text1" w:themeTint="BF"/>
    </w:rPr>
  </w:style>
  <w:style w:type="paragraph" w:styleId="Sraopastraipa">
    <w:name w:val="List Paragraph"/>
    <w:basedOn w:val="prastasis"/>
    <w:uiPriority w:val="34"/>
    <w:qFormat/>
    <w:rsid w:val="00726B30"/>
    <w:pPr>
      <w:ind w:left="720"/>
      <w:contextualSpacing/>
    </w:pPr>
  </w:style>
  <w:style w:type="character" w:styleId="Rykuspabraukimas">
    <w:name w:val="Intense Emphasis"/>
    <w:basedOn w:val="Numatytasispastraiposriftas"/>
    <w:uiPriority w:val="21"/>
    <w:qFormat/>
    <w:rsid w:val="00726B30"/>
    <w:rPr>
      <w:i/>
      <w:iCs/>
      <w:color w:val="0F4761" w:themeColor="accent1" w:themeShade="BF"/>
    </w:rPr>
  </w:style>
  <w:style w:type="paragraph" w:styleId="Iskirtacitata">
    <w:name w:val="Intense Quote"/>
    <w:basedOn w:val="prastasis"/>
    <w:next w:val="prastasis"/>
    <w:link w:val="IskirtacitataDiagrama"/>
    <w:uiPriority w:val="30"/>
    <w:qFormat/>
    <w:rsid w:val="00726B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726B30"/>
    <w:rPr>
      <w:i/>
      <w:iCs/>
      <w:color w:val="0F4761" w:themeColor="accent1" w:themeShade="BF"/>
    </w:rPr>
  </w:style>
  <w:style w:type="character" w:styleId="Rykinuoroda">
    <w:name w:val="Intense Reference"/>
    <w:basedOn w:val="Numatytasispastraiposriftas"/>
    <w:uiPriority w:val="32"/>
    <w:qFormat/>
    <w:rsid w:val="00726B30"/>
    <w:rPr>
      <w:b/>
      <w:bCs/>
      <w:smallCaps/>
      <w:color w:val="0F4761" w:themeColor="accent1" w:themeShade="BF"/>
      <w:spacing w:val="5"/>
    </w:rPr>
  </w:style>
  <w:style w:type="paragraph" w:styleId="Antrats">
    <w:name w:val="header"/>
    <w:basedOn w:val="prastasis"/>
    <w:link w:val="AntratsDiagrama"/>
    <w:uiPriority w:val="99"/>
    <w:unhideWhenUsed/>
    <w:rsid w:val="00726B30"/>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726B30"/>
  </w:style>
  <w:style w:type="paragraph" w:styleId="Porat">
    <w:name w:val="footer"/>
    <w:basedOn w:val="prastasis"/>
    <w:link w:val="PoratDiagrama"/>
    <w:uiPriority w:val="99"/>
    <w:unhideWhenUsed/>
    <w:rsid w:val="00726B30"/>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726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06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464</Words>
  <Characters>2928</Characters>
  <Application>Microsoft Office Word</Application>
  <DocSecurity>0</DocSecurity>
  <Lines>48</Lines>
  <Paragraphs>18</Paragraphs>
  <ScaleCrop>false</ScaleCrop>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Gurčytė</dc:creator>
  <cp:keywords/>
  <dc:description/>
  <cp:lastModifiedBy>Rasa Gurčytė</cp:lastModifiedBy>
  <cp:revision>1</cp:revision>
  <dcterms:created xsi:type="dcterms:W3CDTF">2024-12-30T15:02:00Z</dcterms:created>
  <dcterms:modified xsi:type="dcterms:W3CDTF">2024-12-30T15:04:00Z</dcterms:modified>
</cp:coreProperties>
</file>