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9603" w14:textId="77777777" w:rsidR="00E94594" w:rsidRPr="0061080F" w:rsidRDefault="002444B4" w:rsidP="00E94594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  <w:r w:rsidRPr="0061080F">
        <w:rPr>
          <w:rFonts w:ascii="Helvetica" w:hAnsi="Helvetica"/>
          <w:sz w:val="20"/>
        </w:rPr>
        <w:t>1.</w:t>
      </w:r>
      <w:r w:rsidR="00E94594" w:rsidRPr="0061080F">
        <w:rPr>
          <w:rFonts w:ascii="Helvetica" w:hAnsi="Helvetica"/>
          <w:sz w:val="20"/>
        </w:rPr>
        <w:t xml:space="preserve"> </w:t>
      </w:r>
      <w:r w:rsidRPr="0061080F">
        <w:rPr>
          <w:rFonts w:ascii="Helvetica" w:hAnsi="Helvetica"/>
          <w:sz w:val="20"/>
        </w:rPr>
        <w:t>Vaistų leidimo įrenginys (20), apimantis:</w:t>
      </w:r>
    </w:p>
    <w:p w14:paraId="2E692960" w14:textId="77777777" w:rsidR="00E94594" w:rsidRPr="0061080F" w:rsidRDefault="002444B4" w:rsidP="00E94594">
      <w:pPr>
        <w:pStyle w:val="ID00079Claim"/>
        <w:spacing w:after="0"/>
        <w:jc w:val="both"/>
        <w:rPr>
          <w:rFonts w:ascii="Helvetica" w:hAnsi="Helvetica"/>
          <w:sz w:val="20"/>
        </w:rPr>
      </w:pPr>
      <w:r w:rsidRPr="0061080F">
        <w:rPr>
          <w:rFonts w:ascii="Helvetica" w:hAnsi="Helvetica"/>
          <w:sz w:val="20"/>
        </w:rPr>
        <w:t>gaubtą (38);</w:t>
      </w:r>
    </w:p>
    <w:p w14:paraId="101A03DD" w14:textId="77777777" w:rsidR="00E94594" w:rsidRPr="0061080F" w:rsidRDefault="002444B4" w:rsidP="00E94594">
      <w:pPr>
        <w:pStyle w:val="ID00079Claim"/>
        <w:spacing w:after="0"/>
        <w:jc w:val="both"/>
        <w:rPr>
          <w:rFonts w:ascii="Helvetica" w:hAnsi="Helvetica"/>
          <w:sz w:val="20"/>
        </w:rPr>
      </w:pPr>
      <w:r w:rsidRPr="0061080F">
        <w:rPr>
          <w:rFonts w:ascii="Helvetica" w:hAnsi="Helvetica"/>
          <w:sz w:val="20"/>
        </w:rPr>
        <w:t>vaistų talpyklą (22) su talpyklos korpusu (30), kuriame laikom</w:t>
      </w:r>
      <w:r w:rsidR="007201A5" w:rsidRPr="0061080F">
        <w:rPr>
          <w:rFonts w:ascii="Helvetica" w:hAnsi="Helvetica"/>
          <w:sz w:val="20"/>
        </w:rPr>
        <w:t>as</w:t>
      </w:r>
      <w:r w:rsidRPr="0061080F">
        <w:rPr>
          <w:rFonts w:ascii="Helvetica" w:hAnsi="Helvetica"/>
          <w:sz w:val="20"/>
        </w:rPr>
        <w:t xml:space="preserve"> vaista</w:t>
      </w:r>
      <w:r w:rsidR="007201A5" w:rsidRPr="0061080F">
        <w:rPr>
          <w:rFonts w:ascii="Helvetica" w:hAnsi="Helvetica"/>
          <w:sz w:val="20"/>
        </w:rPr>
        <w:t>s</w:t>
      </w:r>
      <w:r w:rsidRPr="0061080F">
        <w:rPr>
          <w:rFonts w:ascii="Helvetica" w:hAnsi="Helvetica"/>
          <w:sz w:val="20"/>
        </w:rPr>
        <w:t>, ir stumdomu stūmokliu (32), operuojamai sujungtu su talpyklos korpusu, stumdomas stūmoklis, judinamas talpyklos korpuso atžvilgiu, dozuoja vaist</w:t>
      </w:r>
      <w:r w:rsidR="007201A5" w:rsidRPr="0061080F">
        <w:rPr>
          <w:rFonts w:ascii="Helvetica" w:hAnsi="Helvetica"/>
          <w:sz w:val="20"/>
        </w:rPr>
        <w:t>ą</w:t>
      </w:r>
      <w:r w:rsidRPr="0061080F">
        <w:rPr>
          <w:rFonts w:ascii="Helvetica" w:hAnsi="Helvetica"/>
          <w:sz w:val="20"/>
        </w:rPr>
        <w:t xml:space="preserve"> iš vaistų talpyklos, vaistų talpyklą galima judinti minėto gaubto atžvilgiu tarp laikymo padėties ir leidimo padėties;</w:t>
      </w:r>
    </w:p>
    <w:p w14:paraId="4BA0B892" w14:textId="77777777" w:rsidR="00E94594" w:rsidRPr="0061080F" w:rsidRDefault="002444B4" w:rsidP="00E94594">
      <w:pPr>
        <w:pStyle w:val="ID00079Claim"/>
        <w:spacing w:after="0"/>
        <w:jc w:val="both"/>
        <w:rPr>
          <w:rFonts w:ascii="Helvetica" w:hAnsi="Helvetica"/>
          <w:sz w:val="20"/>
        </w:rPr>
      </w:pPr>
      <w:r w:rsidRPr="0061080F">
        <w:rPr>
          <w:rFonts w:ascii="Helvetica" w:hAnsi="Helvetica"/>
          <w:spacing w:val="2"/>
          <w:sz w:val="20"/>
        </w:rPr>
        <w:t>pavaros mechanizmą (24), kuris pritaikytas, pradėjus dozavimo įvykį, perkelti vaistų talpyklą iš laikymo padėties į leidimo padėtį; ir</w:t>
      </w:r>
    </w:p>
    <w:p w14:paraId="784271BC" w14:textId="77777777" w:rsidR="00E94594" w:rsidRPr="0061080F" w:rsidRDefault="002444B4" w:rsidP="00E94594">
      <w:pPr>
        <w:pStyle w:val="ID00079Claim"/>
        <w:spacing w:after="0"/>
        <w:jc w:val="both"/>
        <w:rPr>
          <w:rFonts w:ascii="Helvetica" w:hAnsi="Helvetica"/>
          <w:sz w:val="20"/>
        </w:rPr>
      </w:pPr>
      <w:r w:rsidRPr="0061080F">
        <w:rPr>
          <w:rFonts w:ascii="Helvetica" w:hAnsi="Helvetica"/>
          <w:spacing w:val="-4"/>
          <w:sz w:val="20"/>
        </w:rPr>
        <w:t>įtraukimo mechanizmą (26), kuris pritaikytas, pradėjus įtraukimo judesį, perkelti vaistų talpyklą iš leidimo padėties į laikymo padėtį;</w:t>
      </w:r>
    </w:p>
    <w:p w14:paraId="6C401636" w14:textId="3EB8AFF2" w:rsidR="00E94594" w:rsidRPr="0061080F" w:rsidRDefault="00E94594" w:rsidP="00E94594">
      <w:pPr>
        <w:pStyle w:val="ID00079Claim"/>
        <w:spacing w:after="0"/>
        <w:jc w:val="both"/>
        <w:rPr>
          <w:rFonts w:ascii="Helvetica" w:hAnsi="Helvetica"/>
          <w:sz w:val="20"/>
        </w:rPr>
      </w:pPr>
      <w:r w:rsidRPr="0061080F">
        <w:rPr>
          <w:rFonts w:ascii="Helvetica" w:hAnsi="Helvetica"/>
          <w:sz w:val="20"/>
        </w:rPr>
        <w:t xml:space="preserve">b e s i s k i r i a n t i s  </w:t>
      </w:r>
      <w:r w:rsidR="002444B4" w:rsidRPr="0061080F">
        <w:rPr>
          <w:rFonts w:ascii="Helvetica" w:hAnsi="Helvetica"/>
          <w:sz w:val="20"/>
        </w:rPr>
        <w:t>tuo,</w:t>
      </w:r>
      <w:r w:rsidR="00D00D78" w:rsidRPr="0061080F">
        <w:rPr>
          <w:rFonts w:ascii="Helvetica" w:hAnsi="Helvetica"/>
          <w:sz w:val="20"/>
        </w:rPr>
        <w:t> </w:t>
      </w:r>
      <w:r w:rsidR="002444B4" w:rsidRPr="0061080F">
        <w:rPr>
          <w:rFonts w:ascii="Helvetica" w:hAnsi="Helvetica"/>
          <w:sz w:val="20"/>
        </w:rPr>
        <w:t>kad įrenginys papildomai apima:</w:t>
      </w:r>
    </w:p>
    <w:p w14:paraId="4FE1B1B2" w14:textId="77777777" w:rsidR="00E94594" w:rsidRPr="0061080F" w:rsidRDefault="002444B4" w:rsidP="00E94594">
      <w:pPr>
        <w:pStyle w:val="ID00079Claim"/>
        <w:spacing w:after="0"/>
        <w:jc w:val="both"/>
        <w:rPr>
          <w:rFonts w:ascii="Helvetica" w:hAnsi="Helvetica"/>
          <w:sz w:val="20"/>
        </w:rPr>
      </w:pPr>
      <w:r w:rsidRPr="0061080F">
        <w:rPr>
          <w:rFonts w:ascii="Helvetica" w:hAnsi="Helvetica"/>
          <w:spacing w:val="2"/>
          <w:sz w:val="20"/>
        </w:rPr>
        <w:t>pagreičio matuoklį (92), įrengtą vaistų leidimo įrenginyje, pagreičio matuoklis sukonfigūruotas nustatyti pirmąjį pagreitį, kurį sukelia vaistų talpyklos judėjimas gaubto atžvilgiu, kai pavaros mechanizmas perkelia vaistų talpyklą iš laikymo padėties į leidimo padėtį, ir sukonfigūruotas nustatyti antrąjį pagreitį, kurį sukelia vaistų talpyklos judėjimas gaubto atžvilgiu, kai įtraukimo mechanizmas perkelia vaistų talpyklą iš leidimo padėties į laikymo padėtį; ir</w:t>
      </w:r>
    </w:p>
    <w:p w14:paraId="300726BC" w14:textId="3E7955E9" w:rsidR="00D00D78" w:rsidRPr="0061080F" w:rsidRDefault="002444B4" w:rsidP="00E94594">
      <w:pPr>
        <w:pStyle w:val="ID00079Claim"/>
        <w:spacing w:after="0"/>
        <w:jc w:val="both"/>
        <w:rPr>
          <w:rFonts w:ascii="Helvetica" w:hAnsi="Helvetica"/>
          <w:spacing w:val="-4"/>
          <w:sz w:val="20"/>
        </w:rPr>
      </w:pPr>
      <w:r w:rsidRPr="0061080F">
        <w:rPr>
          <w:rFonts w:ascii="Helvetica" w:hAnsi="Helvetica"/>
          <w:spacing w:val="-4"/>
          <w:sz w:val="20"/>
        </w:rPr>
        <w:t>valdiklį (100), operuojamai sujungtą su pagreičio matuokliu, kur valdiklis sukonfigūruotas pagal aptiktą pirmąjį pagreitį nustatyti dozavimo įvykio pradžią, ir pagal aptiktą antrąjį pagreitį – įtraukimo judesio pabaigą.</w:t>
      </w:r>
    </w:p>
    <w:p w14:paraId="26A10FED" w14:textId="77777777" w:rsidR="00E94594" w:rsidRPr="0061080F" w:rsidRDefault="00E94594" w:rsidP="00E94594">
      <w:pPr>
        <w:pStyle w:val="ID00079Claim"/>
        <w:spacing w:after="0"/>
        <w:jc w:val="both"/>
        <w:rPr>
          <w:rFonts w:ascii="Helvetica" w:hAnsi="Helvetica"/>
          <w:sz w:val="20"/>
        </w:rPr>
      </w:pPr>
    </w:p>
    <w:p w14:paraId="63D6336C" w14:textId="51C25FAC" w:rsidR="00D00D78" w:rsidRPr="0061080F" w:rsidRDefault="002444B4" w:rsidP="0040392B">
      <w:pPr>
        <w:pStyle w:val="ID00079Claim"/>
        <w:spacing w:after="0"/>
        <w:ind w:firstLine="567"/>
        <w:jc w:val="both"/>
        <w:rPr>
          <w:rFonts w:ascii="Helvetica" w:hAnsi="Helvetica"/>
          <w:spacing w:val="2"/>
          <w:sz w:val="20"/>
        </w:rPr>
      </w:pPr>
      <w:r w:rsidRPr="0061080F">
        <w:rPr>
          <w:rFonts w:ascii="Helvetica" w:hAnsi="Helvetica"/>
          <w:spacing w:val="2"/>
          <w:sz w:val="20"/>
        </w:rPr>
        <w:t>2.</w:t>
      </w:r>
      <w:r w:rsidR="00E94594" w:rsidRPr="0061080F">
        <w:rPr>
          <w:rFonts w:ascii="Helvetica" w:hAnsi="Helvetica"/>
          <w:spacing w:val="2"/>
          <w:sz w:val="20"/>
        </w:rPr>
        <w:t xml:space="preserve"> </w:t>
      </w:r>
      <w:r w:rsidRPr="0061080F">
        <w:rPr>
          <w:rFonts w:ascii="Helvetica" w:hAnsi="Helvetica"/>
          <w:spacing w:val="2"/>
          <w:sz w:val="20"/>
        </w:rPr>
        <w:t>Įrenginys pagal 1 punktą, apimantis naudotojo sąsają (104), komunikabiliai sujungtą su valdikliu, kur valdiklis sukonfigūruotas perduoti minėtai naudotojo sąsajai informaciją apie dozavimo įvykio pradžią ir mažiausiai apie vieną iš šių įvykių – dozavimo įvykio pabaigą ir įtraukimo judesio pabaigą.</w:t>
      </w:r>
    </w:p>
    <w:p w14:paraId="1615A480" w14:textId="77777777" w:rsidR="00E94594" w:rsidRPr="0061080F" w:rsidRDefault="00E94594" w:rsidP="0040392B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</w:p>
    <w:p w14:paraId="5C33879E" w14:textId="2D9DF6F5" w:rsidR="00D00D78" w:rsidRDefault="002444B4" w:rsidP="0040392B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  <w:r w:rsidRPr="0061080F">
        <w:rPr>
          <w:rFonts w:ascii="Helvetica" w:hAnsi="Helvetica"/>
          <w:sz w:val="20"/>
        </w:rPr>
        <w:t>3.</w:t>
      </w:r>
      <w:r w:rsidR="00E94594" w:rsidRPr="0061080F">
        <w:rPr>
          <w:rFonts w:ascii="Helvetica" w:hAnsi="Helvetica"/>
          <w:sz w:val="20"/>
        </w:rPr>
        <w:t xml:space="preserve"> </w:t>
      </w:r>
      <w:r w:rsidRPr="0061080F">
        <w:rPr>
          <w:rFonts w:ascii="Helvetica" w:hAnsi="Helvetica"/>
          <w:sz w:val="20"/>
        </w:rPr>
        <w:t>Įrenginys pagal 2 punktą, kur naudotojo sąsaja yra įrengta ant įrenginio.</w:t>
      </w:r>
    </w:p>
    <w:p w14:paraId="481FBB6A" w14:textId="77777777" w:rsidR="0040392B" w:rsidRPr="0061080F" w:rsidRDefault="0040392B" w:rsidP="0040392B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</w:p>
    <w:p w14:paraId="0F5653DD" w14:textId="4CD8C79B" w:rsidR="00D00D78" w:rsidRPr="0061080F" w:rsidRDefault="00E94594" w:rsidP="0040392B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  <w:r w:rsidRPr="0061080F">
        <w:rPr>
          <w:rFonts w:ascii="Helvetica" w:hAnsi="Helvetica"/>
          <w:sz w:val="20"/>
        </w:rPr>
        <w:t xml:space="preserve">4. </w:t>
      </w:r>
      <w:r w:rsidR="002444B4" w:rsidRPr="0061080F">
        <w:rPr>
          <w:rFonts w:ascii="Helvetica" w:hAnsi="Helvetica"/>
          <w:sz w:val="20"/>
        </w:rPr>
        <w:t>Įrenginys pagal 2 punktą, kur naudotojo sąsaja yra atskirai nuo įrenginio, ir valdiklis sukonfigūruotas belaidžiu būdu perduoti naudotojo sąsajai informaciją apie dozavimo įvykio pradžią ir mažiausiai apie vieną iš šių įvykių – dozavimo įvykio pabaigą ir įtraukimo judesio pabaigą.</w:t>
      </w:r>
    </w:p>
    <w:p w14:paraId="62049E09" w14:textId="77777777" w:rsidR="00E94594" w:rsidRPr="0061080F" w:rsidRDefault="00E94594" w:rsidP="00E94594">
      <w:pPr>
        <w:pStyle w:val="ID00079Claim"/>
        <w:spacing w:after="0"/>
        <w:jc w:val="both"/>
        <w:rPr>
          <w:rFonts w:ascii="Helvetica" w:hAnsi="Helvetica"/>
          <w:sz w:val="20"/>
        </w:rPr>
      </w:pPr>
    </w:p>
    <w:p w14:paraId="17DCFCE5" w14:textId="724FCE9F" w:rsidR="00EE0AF7" w:rsidRPr="0061080F" w:rsidRDefault="00E94594" w:rsidP="0040392B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  <w:r w:rsidRPr="0061080F">
        <w:rPr>
          <w:rFonts w:ascii="Helvetica" w:hAnsi="Helvetica"/>
          <w:spacing w:val="2"/>
          <w:sz w:val="20"/>
        </w:rPr>
        <w:t xml:space="preserve">5. </w:t>
      </w:r>
      <w:r w:rsidR="002444B4" w:rsidRPr="0061080F">
        <w:rPr>
          <w:rFonts w:ascii="Helvetica" w:hAnsi="Helvetica"/>
          <w:spacing w:val="2"/>
          <w:sz w:val="20"/>
        </w:rPr>
        <w:t>Įrenginys pagal 1 punktą, kur pavaros mechanizmas pritaikytas perkelti vaistų talpyklą pagal ašį distaline kryptimi, ir įtraukimo mechanizmas pritaikytas perkelti vaistų talpyklą pagal ašį proksimaline kryptimi.</w:t>
      </w:r>
    </w:p>
    <w:sectPr w:rsidR="00EE0AF7" w:rsidRPr="0061080F" w:rsidSect="00E94594">
      <w:headerReference w:type="even" r:id="rId8"/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075"/>
    <wne:keymap wne:mask="1" wne:kcmPrimary="0076"/>
    <wne:keymap wne:mask="1" wne:kcmPrimary="0244"/>
    <wne:keymap wne:mask="1" wne:kcmPrimary="024B"/>
    <wne:keymap wne:mask="1" wne:kcmPrimary="024D"/>
    <wne:keymap wne:mask="1" wne:kcmPrimary="0251"/>
    <wne:keymap wne:mask="1" wne:kcmPrimary="0431"/>
    <wne:keymap wne:mask="1" wne:kcmPrimary="0432"/>
    <wne:keymap wne:mask="1" wne:kcmPrimary="0433"/>
    <wne:keymap wne:mask="1" wne:kcmPrimary="0434"/>
    <wne:keymap wne:mask="1" wne:kcmPrimary="0435"/>
    <wne:keymap wne:kcmPrimary="0442">
      <wne:acd wne:acdName="acd4"/>
    </wne:keymap>
    <wne:keymap wne:kcmPrimary="0443" wne:kcmSecondary="0060">
      <wne:acd wne:acdName="acd0"/>
    </wne:keymap>
    <wne:keymap wne:kcmPrimary="0444">
      <wne:acd wne:acdName="acd2"/>
    </wne:keymap>
    <wne:keymap wne:kcmPrimary="0447">
      <wne:acd wne:acdName="acd1"/>
    </wne:keymap>
    <wne:keymap wne:mask="1" wne:kcmPrimary="044F"/>
    <wne:keymap wne:kcmPrimary="0453" wne:kcmSecondary="0061">
      <wne:acd wne:acdName="acd3"/>
    </wne:keymap>
    <wne:keymap wne:kcmPrimary="0454" wne:kcmSecondary="0061">
      <wne:acd wne:acdName="acd5"/>
    </wne:keymap>
    <wne:keymap wne:kcmPrimary="0455" wne:kcmSecondary="0046">
      <wne:macro wne:macroName="TEMPLATEPROJECT.DTP_PROCESS.IP_UPDATE_FIELDS_"/>
    </wne:keymap>
    <wne:keymap wne:kcmPrimary="0456">
      <wne:macro wne:macroName="TEMPLATEPROJECT.TOOLS.IP_SMALLCAPS_"/>
    </wne:keymap>
    <wne:keymap wne:kcmPrimary="0641">
      <wne:macro wne:macroName="TEMPLATEPROJECT.DTP_INSERTION_IMAGES.IP_INSERT_ABSTRACT_"/>
    </wne:keymap>
    <wne:keymap wne:kcmPrimary="0642">
      <wne:macro wne:macroName="TEMPLATEPROJECT.DTP_INSERTION_IMAGES.IP_INSERT_TABLES_"/>
    </wne:keymap>
    <wne:keymap wne:kcmPrimary="064C">
      <wne:macro wne:macroName="TEMPLATEPROJECT.DTP_INSERTION_IMAGES.IP_INSERT_FIGURES_"/>
    </wne:keymap>
    <wne:keymap wne:kcmPrimary="0660">
      <wne:macro wne:macroName="TEMPLATEPROJECT.DTP_PROCESS.IP_RESET_VALUES"/>
    </wne:keymap>
    <wne:keymap wne:kcmPrimary="066A">
      <wne:macro wne:macroName="TEMPLATEPROJECT.DTP_PROCESS.IP_NO_SUB_SUPERSCRIPT_"/>
    </wne:keymap>
    <wne:keymap wne:kcmPrimary="066B">
      <wne:macro wne:macroName="TEMPLATEPROJECT.DTP_PROCESS.IP_SUPERSCRIPT_"/>
    </wne:keymap>
    <wne:keymap wne:kcmPrimary="066D">
      <wne:macro wne:macroName="TEMPLATEPROJECT.DTP_PROCESS.IP_SUBSCRIPT_"/>
    </wne:keymap>
    <wne:keymap wne:kcmPrimary="066F">
      <wne:macro wne:macroName="TEMPLATEPROJECT.DTP_PROCESS.IP_READY_TO_CLIENT_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gBbAEkARAAwADAAMAA3ADkAXQAgAEMAbABhAGkAbQA=" wne:acdName="acd0" wne:fciIndexBasedOn="0065"/>
    <wne:acd wne:argValue="AgBbAEkARAAwADAAMAA3ADkAXQAgAEYAaQBnAHUAcgBlAA==" wne:acdName="acd1" wne:fciIndexBasedOn="0065"/>
    <wne:acd wne:argValue="AgBbAEkARAAwADAAMAA3ADkAXQAgAFAAYQByAGEAZwByAGEAcABoAA==" wne:acdName="acd2" wne:fciIndexBasedOn="0065"/>
    <wne:acd wne:argValue="AgBbAEkARAAwADAAMAA3ADkAXQAgAFMAdQBiAHQAaQB0AGwAZQAgADEA" wne:acdName="acd3" wne:fciIndexBasedOn="0065"/>
    <wne:acd wne:argValue="AgBbAEkARAAwADAAMAA3ADkAXQAgAFQAYQBiAGwAZQA=" wne:acdName="acd4" wne:fciIndexBasedOn="0065"/>
    <wne:acd wne:argValue="AgBbAEkARAAwADAAMAA3ADkAXQAgAFQAaQB0AGwAZQAgADE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A4663" w14:textId="77777777" w:rsidR="005F70E9" w:rsidRDefault="005F70E9" w:rsidP="002444B4">
      <w:r>
        <w:separator/>
      </w:r>
    </w:p>
  </w:endnote>
  <w:endnote w:type="continuationSeparator" w:id="0">
    <w:p w14:paraId="6B5C23D6" w14:textId="77777777" w:rsidR="005F70E9" w:rsidRDefault="005F70E9" w:rsidP="0024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90AE6" w14:textId="77777777" w:rsidR="005F70E9" w:rsidRDefault="005F70E9" w:rsidP="002444B4">
      <w:r>
        <w:separator/>
      </w:r>
    </w:p>
  </w:footnote>
  <w:footnote w:type="continuationSeparator" w:id="0">
    <w:p w14:paraId="77206C2D" w14:textId="77777777" w:rsidR="005F70E9" w:rsidRDefault="005F70E9" w:rsidP="00244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AD4F" w14:textId="77777777" w:rsidR="00D00D78" w:rsidRDefault="00D00D78" w:rsidP="00CC51D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end"/>
    </w:r>
  </w:p>
  <w:p w14:paraId="7A7712A1" w14:textId="77777777" w:rsidR="00D00D78" w:rsidRDefault="00D00D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8A639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21E62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7098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4EB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740B9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3631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240C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F8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5C8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3E3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A379F9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color w:val="FFC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2C2C8D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  <w:rPr>
        <w:color w:val="FFC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66537B2"/>
    <w:multiLevelType w:val="multilevel"/>
    <w:tmpl w:val="280A0023"/>
    <w:lvl w:ilvl="0">
      <w:start w:val="1"/>
      <w:numFmt w:val="upperRoman"/>
      <w:pStyle w:val="Antrat1"/>
      <w:lvlText w:val="Article %1."/>
      <w:lvlJc w:val="left"/>
      <w:pPr>
        <w:ind w:left="0" w:firstLine="0"/>
      </w:pPr>
      <w:rPr>
        <w:color w:val="FFC000"/>
      </w:rPr>
    </w:lvl>
    <w:lvl w:ilvl="1">
      <w:start w:val="1"/>
      <w:numFmt w:val="decimalZero"/>
      <w:pStyle w:val="Antrat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Antrat3"/>
      <w:lvlText w:val="(%3)"/>
      <w:lvlJc w:val="left"/>
      <w:pPr>
        <w:ind w:left="720" w:hanging="432"/>
      </w:pPr>
    </w:lvl>
    <w:lvl w:ilvl="3">
      <w:start w:val="1"/>
      <w:numFmt w:val="lowerRoman"/>
      <w:pStyle w:val="Antrat4"/>
      <w:lvlText w:val="(%4)"/>
      <w:lvlJc w:val="right"/>
      <w:pPr>
        <w:ind w:left="864" w:hanging="144"/>
      </w:pPr>
    </w:lvl>
    <w:lvl w:ilvl="4">
      <w:start w:val="1"/>
      <w:numFmt w:val="decimal"/>
      <w:pStyle w:val="Antrat5"/>
      <w:lvlText w:val="%5)"/>
      <w:lvlJc w:val="left"/>
      <w:pPr>
        <w:ind w:left="1008" w:hanging="432"/>
      </w:pPr>
    </w:lvl>
    <w:lvl w:ilvl="5">
      <w:start w:val="1"/>
      <w:numFmt w:val="lowerLetter"/>
      <w:pStyle w:val="Antrat6"/>
      <w:lvlText w:val="%6)"/>
      <w:lvlJc w:val="left"/>
      <w:pPr>
        <w:ind w:left="1152" w:hanging="432"/>
      </w:pPr>
    </w:lvl>
    <w:lvl w:ilvl="6">
      <w:start w:val="1"/>
      <w:numFmt w:val="lowerRoman"/>
      <w:pStyle w:val="Antrat7"/>
      <w:lvlText w:val="%7)"/>
      <w:lvlJc w:val="right"/>
      <w:pPr>
        <w:ind w:left="1296" w:hanging="288"/>
      </w:pPr>
    </w:lvl>
    <w:lvl w:ilvl="7">
      <w:start w:val="1"/>
      <w:numFmt w:val="lowerLetter"/>
      <w:pStyle w:val="Antrat8"/>
      <w:lvlText w:val="%8."/>
      <w:lvlJc w:val="left"/>
      <w:pPr>
        <w:ind w:left="1440" w:hanging="432"/>
      </w:pPr>
    </w:lvl>
    <w:lvl w:ilvl="8">
      <w:start w:val="1"/>
      <w:numFmt w:val="lowerRoman"/>
      <w:pStyle w:val="Antrat9"/>
      <w:lvlText w:val="%9."/>
      <w:lvlJc w:val="right"/>
      <w:pPr>
        <w:ind w:left="1584" w:hanging="144"/>
      </w:pPr>
    </w:lvl>
  </w:abstractNum>
  <w:num w:numId="1" w16cid:durableId="543831625">
    <w:abstractNumId w:val="10"/>
  </w:num>
  <w:num w:numId="2" w16cid:durableId="604309559">
    <w:abstractNumId w:val="11"/>
  </w:num>
  <w:num w:numId="3" w16cid:durableId="910851955">
    <w:abstractNumId w:val="12"/>
  </w:num>
  <w:num w:numId="4" w16cid:durableId="466431265">
    <w:abstractNumId w:val="9"/>
  </w:num>
  <w:num w:numId="5" w16cid:durableId="2064331333">
    <w:abstractNumId w:val="7"/>
  </w:num>
  <w:num w:numId="6" w16cid:durableId="1385254738">
    <w:abstractNumId w:val="6"/>
  </w:num>
  <w:num w:numId="7" w16cid:durableId="1102184689">
    <w:abstractNumId w:val="5"/>
  </w:num>
  <w:num w:numId="8" w16cid:durableId="1052734142">
    <w:abstractNumId w:val="4"/>
  </w:num>
  <w:num w:numId="9" w16cid:durableId="1675525241">
    <w:abstractNumId w:val="8"/>
  </w:num>
  <w:num w:numId="10" w16cid:durableId="1921132768">
    <w:abstractNumId w:val="3"/>
  </w:num>
  <w:num w:numId="11" w16cid:durableId="943223814">
    <w:abstractNumId w:val="2"/>
  </w:num>
  <w:num w:numId="12" w16cid:durableId="1433013331">
    <w:abstractNumId w:val="1"/>
  </w:num>
  <w:num w:numId="13" w16cid:durableId="147148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0"/>
  <w:proofState w:spelling="clean" w:grammar="clean"/>
  <w:defaultTabStop w:val="43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E7"/>
    <w:rsid w:val="00070DBD"/>
    <w:rsid w:val="0009621D"/>
    <w:rsid w:val="000A2726"/>
    <w:rsid w:val="001F5F43"/>
    <w:rsid w:val="002444B4"/>
    <w:rsid w:val="002F3019"/>
    <w:rsid w:val="002F3A1E"/>
    <w:rsid w:val="003C386F"/>
    <w:rsid w:val="0040392B"/>
    <w:rsid w:val="004047A8"/>
    <w:rsid w:val="004122BD"/>
    <w:rsid w:val="0047391C"/>
    <w:rsid w:val="00542DB1"/>
    <w:rsid w:val="005F2578"/>
    <w:rsid w:val="005F70E9"/>
    <w:rsid w:val="0061080F"/>
    <w:rsid w:val="00650932"/>
    <w:rsid w:val="006A11C7"/>
    <w:rsid w:val="007201A5"/>
    <w:rsid w:val="007729FF"/>
    <w:rsid w:val="00965976"/>
    <w:rsid w:val="009A1CF6"/>
    <w:rsid w:val="00A23034"/>
    <w:rsid w:val="00AE4139"/>
    <w:rsid w:val="00B6510F"/>
    <w:rsid w:val="00C738AF"/>
    <w:rsid w:val="00CA68B8"/>
    <w:rsid w:val="00D00D78"/>
    <w:rsid w:val="00E673D1"/>
    <w:rsid w:val="00E84CEC"/>
    <w:rsid w:val="00E94594"/>
    <w:rsid w:val="00EA5EE7"/>
    <w:rsid w:val="00EE0AF7"/>
    <w:rsid w:val="00F05BA1"/>
    <w:rsid w:val="00F45520"/>
    <w:rsid w:val="00FE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8BB76F"/>
  <w14:defaultImageDpi w14:val="32767"/>
  <w15:chartTrackingRefBased/>
  <w15:docId w15:val="{A29C8333-1EE1-431E-975C-F0C10E63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lt-LT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0" w:line="240" w:lineRule="auto"/>
    </w:pPr>
    <w:rPr>
      <w:rFonts w:ascii="Arial" w:hAnsi="Arial"/>
      <w:color w:val="000000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A5EE7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FFC000"/>
      <w:sz w:val="40"/>
      <w:szCs w:val="5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A5EE7"/>
    <w:pPr>
      <w:keepNext/>
      <w:keepLines/>
      <w:numPr>
        <w:ilvl w:val="1"/>
        <w:numId w:val="3"/>
      </w:numPr>
      <w:spacing w:before="160" w:after="80"/>
      <w:outlineLvl w:val="1"/>
    </w:pPr>
    <w:rPr>
      <w:rFonts w:asciiTheme="majorHAnsi" w:eastAsiaTheme="majorEastAsia" w:hAnsiTheme="majorHAnsi" w:cstheme="majorBidi"/>
      <w:color w:val="FFC000"/>
      <w:sz w:val="32"/>
      <w:szCs w:val="40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A5EE7"/>
    <w:pPr>
      <w:keepNext/>
      <w:keepLines/>
      <w:numPr>
        <w:ilvl w:val="2"/>
        <w:numId w:val="3"/>
      </w:numPr>
      <w:spacing w:before="160" w:after="80"/>
      <w:outlineLvl w:val="2"/>
    </w:pPr>
    <w:rPr>
      <w:rFonts w:eastAsiaTheme="majorEastAsia" w:cstheme="majorBidi"/>
      <w:color w:val="FFC000"/>
      <w:sz w:val="28"/>
      <w:szCs w:val="35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A5EE7"/>
    <w:pPr>
      <w:keepNext/>
      <w:keepLines/>
      <w:numPr>
        <w:ilvl w:val="3"/>
        <w:numId w:val="3"/>
      </w:numPr>
      <w:spacing w:before="80" w:after="40"/>
      <w:outlineLvl w:val="3"/>
    </w:pPr>
    <w:rPr>
      <w:rFonts w:eastAsiaTheme="majorEastAsia" w:cstheme="majorBidi"/>
      <w:i/>
      <w:iCs/>
      <w:color w:val="FFC000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A5EE7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FFC000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A5EE7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i/>
      <w:iCs/>
      <w:color w:val="FFC00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A5EE7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color w:val="FFC00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A5EE7"/>
    <w:pPr>
      <w:keepNext/>
      <w:keepLines/>
      <w:numPr>
        <w:ilvl w:val="7"/>
        <w:numId w:val="3"/>
      </w:numPr>
      <w:outlineLvl w:val="7"/>
    </w:pPr>
    <w:rPr>
      <w:rFonts w:eastAsiaTheme="majorEastAsia" w:cstheme="majorBidi"/>
      <w:i/>
      <w:iCs/>
      <w:color w:val="FFC00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A5EE7"/>
    <w:pPr>
      <w:keepNext/>
      <w:keepLines/>
      <w:numPr>
        <w:ilvl w:val="8"/>
        <w:numId w:val="3"/>
      </w:numPr>
      <w:outlineLvl w:val="8"/>
    </w:pPr>
    <w:rPr>
      <w:rFonts w:eastAsiaTheme="majorEastAsia" w:cstheme="majorBidi"/>
      <w:color w:val="FFC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A5EE7"/>
    <w:rPr>
      <w:rFonts w:asciiTheme="majorHAnsi" w:eastAsiaTheme="majorEastAsia" w:hAnsiTheme="majorHAnsi" w:cstheme="majorBidi"/>
      <w:color w:val="FFC000"/>
      <w:sz w:val="40"/>
      <w:szCs w:val="5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A5EE7"/>
    <w:rPr>
      <w:rFonts w:asciiTheme="majorHAnsi" w:eastAsiaTheme="majorEastAsia" w:hAnsiTheme="majorHAnsi" w:cstheme="majorBidi"/>
      <w:color w:val="FFC000"/>
      <w:sz w:val="32"/>
      <w:szCs w:val="40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A5EE7"/>
    <w:rPr>
      <w:rFonts w:eastAsiaTheme="majorEastAsia" w:cstheme="majorBidi"/>
      <w:color w:val="FFC000"/>
      <w:sz w:val="28"/>
      <w:szCs w:val="35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A5EE7"/>
    <w:rPr>
      <w:rFonts w:eastAsiaTheme="majorEastAsia" w:cstheme="majorBidi"/>
      <w:i/>
      <w:iCs/>
      <w:color w:val="FFC00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A5EE7"/>
    <w:rPr>
      <w:rFonts w:eastAsiaTheme="majorEastAsia" w:cstheme="majorBidi"/>
      <w:color w:val="FFC000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A5EE7"/>
    <w:rPr>
      <w:rFonts w:eastAsiaTheme="majorEastAsia" w:cstheme="majorBidi"/>
      <w:i/>
      <w:iCs/>
      <w:color w:val="FFC00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A5EE7"/>
    <w:rPr>
      <w:rFonts w:eastAsiaTheme="majorEastAsia" w:cstheme="majorBidi"/>
      <w:color w:val="FFC00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A5EE7"/>
    <w:rPr>
      <w:rFonts w:eastAsiaTheme="majorEastAsia" w:cstheme="majorBidi"/>
      <w:i/>
      <w:iCs/>
      <w:color w:val="FFC00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A5EE7"/>
    <w:rPr>
      <w:rFonts w:eastAsiaTheme="majorEastAsia" w:cstheme="majorBidi"/>
      <w:color w:val="FFC000"/>
    </w:rPr>
  </w:style>
  <w:style w:type="paragraph" w:customStyle="1" w:styleId="ID00079Claim">
    <w:name w:val="[ID00079] Claim"/>
    <w:qFormat/>
    <w:rsid w:val="00D00D78"/>
    <w:pPr>
      <w:tabs>
        <w:tab w:val="left" w:pos="851"/>
      </w:tabs>
      <w:overflowPunct w:val="0"/>
      <w:spacing w:after="240" w:line="360" w:lineRule="auto"/>
    </w:pPr>
    <w:rPr>
      <w:rFonts w:ascii="Arial" w:eastAsia="Arial" w:hAnsi="Arial" w:cs="Arial"/>
      <w:color w:val="000000"/>
      <w:kern w:val="0"/>
      <w:szCs w:val="24"/>
      <w:lang w:bidi="ar-SA"/>
      <w14:ligatures w14:val="none"/>
    </w:rPr>
  </w:style>
  <w:style w:type="paragraph" w:customStyle="1" w:styleId="ID00079Figure">
    <w:name w:val="[ID00079] Figure"/>
    <w:qFormat/>
    <w:rsid w:val="00D00D78"/>
    <w:pPr>
      <w:overflowPunct w:val="0"/>
      <w:spacing w:after="240" w:line="360" w:lineRule="auto"/>
      <w:jc w:val="center"/>
    </w:pPr>
    <w:rPr>
      <w:rFonts w:ascii="Arial" w:eastAsia="Arial" w:hAnsi="Arial" w:cs="Arial"/>
      <w:color w:val="000000"/>
      <w:kern w:val="0"/>
      <w:szCs w:val="24"/>
      <w:lang w:bidi="ar-SA"/>
      <w14:ligatures w14:val="none"/>
    </w:rPr>
  </w:style>
  <w:style w:type="table" w:styleId="Lentelstinklelis">
    <w:name w:val="Table Grid"/>
    <w:basedOn w:val="prastojilentel"/>
    <w:uiPriority w:val="39"/>
    <w:rsid w:val="00D00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00079Paragraph">
    <w:name w:val="[ID00079] Paragraph"/>
    <w:qFormat/>
    <w:rsid w:val="00D00D78"/>
    <w:pPr>
      <w:overflowPunct w:val="0"/>
      <w:spacing w:after="240" w:line="360" w:lineRule="auto"/>
      <w:ind w:firstLine="1134"/>
    </w:pPr>
    <w:rPr>
      <w:rFonts w:ascii="Arial" w:eastAsia="Arial" w:hAnsi="Arial" w:cs="Arial"/>
      <w:color w:val="000000"/>
      <w:kern w:val="0"/>
      <w:szCs w:val="24"/>
      <w:lang w:bidi="ar-SA"/>
      <w14:ligatures w14:val="none"/>
    </w:rPr>
  </w:style>
  <w:style w:type="paragraph" w:customStyle="1" w:styleId="ID00079Subtitle1">
    <w:name w:val="[ID00079] Subtitle 1"/>
    <w:qFormat/>
    <w:rsid w:val="00D00D78"/>
    <w:pPr>
      <w:overflowPunct w:val="0"/>
      <w:spacing w:after="240" w:line="360" w:lineRule="auto"/>
      <w:ind w:firstLine="1134"/>
    </w:pPr>
    <w:rPr>
      <w:rFonts w:ascii="Arial" w:eastAsia="Arial" w:hAnsi="Arial" w:cs="Arial"/>
      <w:color w:val="000000"/>
      <w:kern w:val="0"/>
      <w:szCs w:val="24"/>
      <w:u w:val="single"/>
      <w:lang w:bidi="ar-SA"/>
      <w14:ligatures w14:val="none"/>
    </w:rPr>
  </w:style>
  <w:style w:type="paragraph" w:customStyle="1" w:styleId="ID00079Table">
    <w:name w:val="[ID00079] Table"/>
    <w:qFormat/>
    <w:rsid w:val="00D00D78"/>
    <w:pPr>
      <w:overflowPunct w:val="0"/>
      <w:spacing w:before="60" w:after="60" w:line="240" w:lineRule="auto"/>
    </w:pPr>
    <w:rPr>
      <w:rFonts w:ascii="Arial" w:eastAsia="Arial" w:hAnsi="Arial" w:cs="Arial"/>
      <w:color w:val="000000"/>
      <w:kern w:val="0"/>
      <w:szCs w:val="24"/>
      <w:lang w:bidi="ar-SA"/>
      <w14:ligatures w14:val="none"/>
    </w:rPr>
  </w:style>
  <w:style w:type="paragraph" w:customStyle="1" w:styleId="ID00079Title1">
    <w:name w:val="[ID00079] Title 1"/>
    <w:qFormat/>
    <w:rsid w:val="00D00D78"/>
    <w:pPr>
      <w:overflowPunct w:val="0"/>
      <w:spacing w:after="240" w:line="360" w:lineRule="auto"/>
    </w:pPr>
    <w:rPr>
      <w:rFonts w:ascii="Arial" w:eastAsia="Arial" w:hAnsi="Arial" w:cs="Arial"/>
      <w:caps/>
      <w:color w:val="000000"/>
      <w:kern w:val="0"/>
      <w:szCs w:val="24"/>
      <w:lang w:bidi="ar-SA"/>
      <w14:ligatures w14:val="none"/>
    </w:rPr>
  </w:style>
  <w:style w:type="character" w:styleId="Eilutsnumeris">
    <w:name w:val="line number"/>
    <w:uiPriority w:val="99"/>
    <w:qFormat/>
    <w:rsid w:val="00D00D78"/>
    <w:rPr>
      <w:rFonts w:ascii="Times New Roman" w:hAnsi="Times New Roman" w:cstheme="minorBidi"/>
      <w:color w:val="000000"/>
      <w:sz w:val="20"/>
      <w:szCs w:val="20"/>
    </w:rPr>
  </w:style>
  <w:style w:type="character" w:styleId="Puslapionumeris">
    <w:name w:val="page number"/>
    <w:uiPriority w:val="99"/>
    <w:qFormat/>
    <w:rsid w:val="00D00D78"/>
    <w:rPr>
      <w:rFonts w:ascii="Arial" w:hAnsi="Arial" w:cstheme="minorBidi"/>
      <w:color w:val="000000"/>
      <w:sz w:val="24"/>
      <w:szCs w:val="24"/>
    </w:rPr>
  </w:style>
  <w:style w:type="paragraph" w:styleId="Antrats">
    <w:name w:val="header"/>
    <w:link w:val="AntratsDiagrama"/>
    <w:uiPriority w:val="99"/>
    <w:qFormat/>
    <w:rsid w:val="00D00D78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color w:val="000000"/>
      <w:kern w:val="0"/>
      <w:szCs w:val="24"/>
      <w:lang w:val="en-US" w:bidi="ar-SA"/>
      <w14:ligatures w14:val="none"/>
    </w:rPr>
  </w:style>
  <w:style w:type="character" w:customStyle="1" w:styleId="AntratsDiagrama">
    <w:name w:val="Antraštės Diagrama"/>
    <w:link w:val="Antrats"/>
    <w:uiPriority w:val="99"/>
    <w:rsid w:val="00D00D78"/>
    <w:rPr>
      <w:rFonts w:ascii="Arial" w:eastAsia="Times New Roman" w:hAnsi="Arial"/>
      <w:color w:val="000000"/>
      <w:kern w:val="0"/>
      <w:szCs w:val="24"/>
      <w:lang w:val="en-US" w:bidi="ar-SA"/>
      <w14:ligatures w14:val="non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rsid w:val="00D00D78"/>
    <w:pPr>
      <w:ind w:left="240" w:hanging="240"/>
    </w:pPr>
  </w:style>
  <w:style w:type="paragraph" w:styleId="Porat">
    <w:name w:val="footer"/>
    <w:basedOn w:val="prastasis"/>
    <w:link w:val="PoratDiagrama"/>
    <w:uiPriority w:val="99"/>
    <w:unhideWhenUsed/>
    <w:rsid w:val="00D00D78"/>
    <w:pPr>
      <w:tabs>
        <w:tab w:val="center" w:pos="4252"/>
        <w:tab w:val="right" w:pos="8504"/>
      </w:tabs>
    </w:pPr>
    <w:rPr>
      <w:szCs w:val="3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00D78"/>
    <w:rPr>
      <w:rFonts w:ascii="Arial" w:hAnsi="Arial"/>
      <w:color w:val="FFC000"/>
    </w:rPr>
  </w:style>
  <w:style w:type="paragraph" w:styleId="Pataisymai">
    <w:name w:val="Revision"/>
    <w:hidden/>
    <w:uiPriority w:val="99"/>
    <w:semiHidden/>
    <w:rsid w:val="002444B4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00D7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00D7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304</Words>
  <Characters>1999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Ebbs</dc:creator>
  <cp:keywords/>
  <dc:description>SPECIFICATION COMPLETED !
v12.01.12</dc:description>
  <cp:lastModifiedBy>Jurgita Eidukevičienė</cp:lastModifiedBy>
  <cp:revision>14</cp:revision>
  <dcterms:created xsi:type="dcterms:W3CDTF">2025-05-08T17:01:00Z</dcterms:created>
  <dcterms:modified xsi:type="dcterms:W3CDTF">2025-06-12T13:55:00Z</dcterms:modified>
</cp:coreProperties>
</file>